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1fob9te" w:id="0"/>
      <w:bookmarkEnd w:id="0"/>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-914399</wp:posOffset>
                </wp:positionH>
                <wp:positionV relativeFrom="paragraph">
                  <wp:posOffset>-901699</wp:posOffset>
                </wp:positionV>
                <wp:extent cx="7547819" cy="9515515"/>
                <wp:effectExtent b="0" l="0" r="0" t="0"/>
                <wp:wrapNone/>
                <wp:docPr id="9" name=""/>
                <a:graphic>
                  <a:graphicData uri="http://schemas.microsoft.com/office/word/2010/wordprocessingShape">
                    <wps:wsp>
                      <wps:cNvSpPr/>
                      <wps:cNvPr id="2" name="Shape 2"/>
                      <wps:spPr>
                        <a:xfrm>
                          <a:off x="1578441" y="0"/>
                          <a:ext cx="7535119" cy="7560000"/>
                        </a:xfrm>
                        <a:prstGeom prst="rect">
                          <a:avLst/>
                        </a:prstGeom>
                        <a:gradFill>
                          <a:gsLst>
                            <a:gs pos="0">
                              <a:srgbClr val="1BADB8"/>
                            </a:gs>
                            <a:gs pos="100000">
                              <a:schemeClr val="accent6"/>
                            </a:gs>
                          </a:gsLst>
                          <a:lin ang="0" scaled="0"/>
                        </a:gradFill>
                        <a:ln cap="flat" cmpd="sng" w="12700">
                          <a:solidFill>
                            <a:srgbClr val="151225"/>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-914399</wp:posOffset>
                </wp:positionH>
                <wp:positionV relativeFrom="paragraph">
                  <wp:posOffset>-901699</wp:posOffset>
                </wp:positionV>
                <wp:extent cx="7547819" cy="9515515"/>
                <wp:effectExtent b="0" l="0" r="0" t="0"/>
                <wp:wrapNone/>
                <wp:docPr id="9"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7547819" cy="9515515"/>
                        </a:xfrm>
                        <a:prstGeom prst="rect"/>
                        <a:ln/>
                      </pic:spPr>
                    </pic:pic>
                  </a:graphicData>
                </a:graphic>
              </wp:anchor>
            </w:drawing>
          </mc:Fallback>
        </mc:AlternateContent>
      </w:r>
    </w:p>
    <w:tbl>
      <w:tblPr>
        <w:tblStyle w:val="Table1"/>
        <w:tblW w:w="9247.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247"/>
        <w:tblGridChange w:id="0">
          <w:tblGrid>
            <w:gridCol w:w="9247"/>
          </w:tblGrid>
        </w:tblGridChange>
      </w:tblGrid>
      <w:tr>
        <w:trPr>
          <w:cantSplit w:val="0"/>
          <w:trHeight w:val="1597" w:hRule="atLeast"/>
          <w:tblHeader w:val="0"/>
        </w:trPr>
        <w:tc>
          <w:tcPr>
            <w:shd w:fill="auto" w:val="clear"/>
            <w:vAlign w:val="center"/>
          </w:tcPr>
          <w:p w:rsidR="00000000" w:rsidDel="00000000" w:rsidP="00000000" w:rsidRDefault="00000000" w:rsidRPr="00000000" w14:paraId="00000002">
            <w:pPr>
              <w:jc w:val="center"/>
              <w:rPr>
                <w:smallCaps w:val="1"/>
                <w:color w:val="4472c4"/>
                <w:sz w:val="72"/>
                <w:szCs w:val="72"/>
              </w:rPr>
            </w:pPr>
            <w:r w:rsidDel="00000000" w:rsidR="00000000" w:rsidRPr="00000000">
              <w:rPr>
                <w:smallCaps w:val="1"/>
                <w:color w:val="4472c4"/>
                <w:sz w:val="72"/>
                <w:szCs w:val="72"/>
              </w:rPr>
              <w:drawing>
                <wp:inline distB="0" distT="0" distL="0" distR="0">
                  <wp:extent cx="3147177" cy="1139843"/>
                  <wp:effectExtent b="0" l="0" r="0" t="0"/>
                  <wp:docPr descr="Logo&#10;&#10;Description automatically generated" id="11" name="image1.png"/>
                  <a:graphic>
                    <a:graphicData uri="http://schemas.openxmlformats.org/drawingml/2006/picture">
                      <pic:pic>
                        <pic:nvPicPr>
                          <pic:cNvPr descr="Logo&#10;&#10;Description automatically generated" id="0" name="image1.png"/>
                          <pic:cNvPicPr preferRelativeResize="0"/>
                        </pic:nvPicPr>
                        <pic:blipFill>
                          <a:blip r:embed="rId9"/>
                          <a:srcRect b="0" l="0" r="0" t="0"/>
                          <a:stretch>
                            <a:fillRect/>
                          </a:stretch>
                        </pic:blipFill>
                        <pic:spPr>
                          <a:xfrm>
                            <a:off x="0" y="0"/>
                            <a:ext cx="3147177" cy="1139843"/>
                          </a:xfrm>
                          <a:prstGeom prst="rect"/>
                          <a:ln/>
                        </pic:spPr>
                      </pic:pic>
                    </a:graphicData>
                  </a:graphic>
                </wp:inline>
              </w:drawing>
            </w:r>
            <w:r w:rsidDel="00000000" w:rsidR="00000000" w:rsidRPr="00000000">
              <w:rPr>
                <w:rtl w:val="0"/>
              </w:rPr>
            </w:r>
          </w:p>
        </w:tc>
      </w:tr>
      <w:tr>
        <w:trPr>
          <w:cantSplit w:val="0"/>
          <w:trHeight w:val="5085" w:hRule="atLeast"/>
          <w:tblHeader w:val="0"/>
        </w:trPr>
        <w:tc>
          <w:tcPr/>
          <w:p w:rsidR="00000000" w:rsidDel="00000000" w:rsidP="00000000" w:rsidRDefault="00000000" w:rsidRPr="00000000" w14:paraId="00000003">
            <w:pPr>
              <w:rPr>
                <w:smallCaps w:val="1"/>
                <w:color w:val="4472c4"/>
                <w:sz w:val="72"/>
                <w:szCs w:val="72"/>
              </w:rPr>
            </w:pPr>
            <w:r w:rsidDel="00000000" w:rsidR="00000000" w:rsidRPr="00000000">
              <w:rPr>
                <w:rtl w:val="0"/>
              </w:rPr>
            </w:r>
          </w:p>
        </w:tc>
      </w:tr>
      <w:tr>
        <w:trPr>
          <w:cantSplit w:val="0"/>
          <w:trHeight w:val="1816" w:hRule="atLeast"/>
          <w:tblHeader w:val="0"/>
        </w:trPr>
        <w:tc>
          <w:tcPr>
            <w:tcBorders>
              <w:bottom w:color="7f207f" w:space="0" w:sz="4" w:val="single"/>
            </w:tcBorders>
            <w:vAlign w:val="center"/>
          </w:tcPr>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80" w:before="80" w:lineRule="auto"/>
              <w:jc w:val="left"/>
              <w:rPr>
                <w:b w:val="1"/>
                <w:color w:val="ffffff"/>
                <w:sz w:val="40"/>
                <w:szCs w:val="40"/>
              </w:rPr>
            </w:pPr>
            <w:r w:rsidDel="00000000" w:rsidR="00000000" w:rsidRPr="00000000">
              <w:rPr>
                <w:b w:val="1"/>
                <w:color w:val="ffffff"/>
                <w:sz w:val="40"/>
                <w:szCs w:val="40"/>
                <w:rtl w:val="0"/>
              </w:rPr>
              <w:t xml:space="preserve">MS2.1 Updated requirements analysis report </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80" w:before="80" w:lineRule="auto"/>
              <w:jc w:val="left"/>
              <w:rPr>
                <w:b w:val="1"/>
                <w:color w:val="ffffff"/>
                <w:sz w:val="28"/>
                <w:szCs w:val="28"/>
              </w:rPr>
            </w:pPr>
            <w:r w:rsidDel="00000000" w:rsidR="00000000" w:rsidRPr="00000000">
              <w:rPr>
                <w:b w:val="1"/>
                <w:color w:val="ffffff"/>
                <w:sz w:val="28"/>
                <w:szCs w:val="28"/>
                <w:rtl w:val="0"/>
              </w:rPr>
              <w:t xml:space="preserve">Christos Kanellopoulos (GÉANT)</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80" w:before="80" w:lineRule="auto"/>
              <w:jc w:val="left"/>
              <w:rPr>
                <w:b w:val="1"/>
                <w:color w:val="ffffff"/>
                <w:sz w:val="28"/>
                <w:szCs w:val="28"/>
              </w:rPr>
            </w:pPr>
            <w:r w:rsidDel="00000000" w:rsidR="00000000" w:rsidRPr="00000000">
              <w:rPr>
                <w:b w:val="1"/>
                <w:color w:val="ffffff"/>
                <w:sz w:val="28"/>
                <w:szCs w:val="28"/>
                <w:rtl w:val="0"/>
              </w:rPr>
              <w:t xml:space="preserve">Licia Florio (GÉANT)</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80" w:before="80" w:lineRule="auto"/>
              <w:jc w:val="left"/>
              <w:rPr>
                <w:b w:val="1"/>
                <w:color w:val="ffffff"/>
                <w:sz w:val="28"/>
                <w:szCs w:val="28"/>
              </w:rPr>
            </w:pPr>
            <w:r w:rsidDel="00000000" w:rsidR="00000000" w:rsidRPr="00000000">
              <w:rPr>
                <w:b w:val="1"/>
                <w:color w:val="ffffff"/>
                <w:sz w:val="28"/>
                <w:szCs w:val="28"/>
                <w:rtl w:val="0"/>
              </w:rPr>
              <w:t xml:space="preserve">Stefan Liström (SRC)</w:t>
            </w:r>
          </w:p>
          <w:p w:rsidR="00000000" w:rsidDel="00000000" w:rsidP="00000000" w:rsidRDefault="00000000" w:rsidRPr="00000000" w14:paraId="00000008">
            <w:pPr>
              <w:spacing w:after="80" w:before="80" w:lineRule="auto"/>
              <w:jc w:val="left"/>
              <w:rPr>
                <w:b w:val="1"/>
                <w:color w:val="ffffff"/>
                <w:sz w:val="28"/>
                <w:szCs w:val="28"/>
              </w:rPr>
            </w:pPr>
            <w:r w:rsidDel="00000000" w:rsidR="00000000" w:rsidRPr="00000000">
              <w:rPr>
                <w:b w:val="1"/>
                <w:color w:val="ffffff"/>
                <w:sz w:val="28"/>
                <w:szCs w:val="28"/>
                <w:rtl w:val="0"/>
              </w:rPr>
              <w:t xml:space="preserve">Leif Johansson (SRC)</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80" w:before="80" w:lineRule="auto"/>
              <w:jc w:val="left"/>
              <w:rPr>
                <w:b w:val="1"/>
                <w:color w:val="ffffff"/>
                <w:sz w:val="28"/>
                <w:szCs w:val="28"/>
              </w:rPr>
            </w:pPr>
            <w:r w:rsidDel="00000000" w:rsidR="00000000" w:rsidRPr="00000000">
              <w:rPr>
                <w:b w:val="1"/>
                <w:color w:val="ffffff"/>
                <w:sz w:val="28"/>
                <w:szCs w:val="28"/>
                <w:rtl w:val="0"/>
              </w:rPr>
              <w:t xml:space="preserve">Ferran Abarca Peris (UB)</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80" w:before="80" w:lineRule="auto"/>
              <w:jc w:val="left"/>
              <w:rPr>
                <w:b w:val="1"/>
                <w:color w:val="ffffff"/>
                <w:sz w:val="28"/>
                <w:szCs w:val="28"/>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80" w:before="80" w:lineRule="auto"/>
              <w:jc w:val="left"/>
              <w:rPr/>
            </w:pPr>
            <w:r w:rsidDel="00000000" w:rsidR="00000000" w:rsidRPr="00000000">
              <w:rPr>
                <w:sz w:val="28"/>
                <w:szCs w:val="28"/>
                <w:rtl w:val="0"/>
              </w:rPr>
              <w:t xml:space="preserve">23</w:t>
            </w:r>
            <w:r w:rsidDel="00000000" w:rsidR="00000000" w:rsidRPr="00000000">
              <w:rPr>
                <w:sz w:val="28"/>
                <w:szCs w:val="28"/>
                <w:rtl w:val="0"/>
              </w:rPr>
              <w:t xml:space="preserve">/12/</w:t>
            </w:r>
            <w:r w:rsidDel="00000000" w:rsidR="00000000" w:rsidRPr="00000000">
              <w:rPr>
                <w:sz w:val="28"/>
                <w:szCs w:val="28"/>
                <w:rtl w:val="0"/>
              </w:rPr>
              <w:t xml:space="preserve">2022</w:t>
            </w:r>
            <w:r w:rsidDel="00000000" w:rsidR="00000000" w:rsidRPr="00000000">
              <w:rPr>
                <w:rtl w:val="0"/>
              </w:rPr>
            </w:r>
          </w:p>
        </w:tc>
      </w:tr>
      <w:tr>
        <w:trPr>
          <w:cantSplit w:val="0"/>
          <w:trHeight w:val="726" w:hRule="atLeast"/>
          <w:tblHeader w:val="0"/>
        </w:trPr>
        <w:tc>
          <w:tcPr>
            <w:tcBorders>
              <w:top w:color="7f207f" w:space="0" w:sz="4" w:val="single"/>
            </w:tcBorders>
            <w:vAlign w:val="center"/>
          </w:tcPr>
          <w:p w:rsidR="00000000" w:rsidDel="00000000" w:rsidP="00000000" w:rsidRDefault="00000000" w:rsidRPr="00000000" w14:paraId="0000000C">
            <w:pPr>
              <w:rPr>
                <w:b w:val="1"/>
              </w:rPr>
            </w:pPr>
            <w:r w:rsidDel="00000000" w:rsidR="00000000" w:rsidRPr="00000000">
              <w:rPr>
                <w:rtl w:val="0"/>
              </w:rPr>
            </w:r>
          </w:p>
        </w:tc>
      </w:tr>
    </w:tbl>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Title"/>
        <w:rPr/>
      </w:pPr>
      <w:r w:rsidDel="00000000" w:rsidR="00000000" w:rsidRPr="00000000">
        <w:br w:type="page"/>
      </w:r>
      <w:r w:rsidDel="00000000" w:rsidR="00000000" w:rsidRPr="00000000">
        <w:rPr>
          <w:color w:val="1cadb8"/>
          <w:rtl w:val="0"/>
        </w:rPr>
        <w:t xml:space="preserve">Table of Contents</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1">
          <w:pPr>
            <w:tabs>
              <w:tab w:val="right" w:pos="9025.511811023624"/>
            </w:tabs>
            <w:spacing w:before="80" w:line="240" w:lineRule="auto"/>
            <w:ind w:left="0" w:firstLine="0"/>
            <w:rPr>
              <w:rFonts w:ascii="Arial" w:cs="Arial" w:eastAsia="Arial" w:hAnsi="Arial"/>
              <w:b w:val="1"/>
              <w:i w:val="0"/>
              <w:smallCaps w:val="0"/>
              <w:strike w:val="0"/>
              <w:color w:val="1e1a34"/>
              <w:sz w:val="21"/>
              <w:szCs w:val="21"/>
              <w:u w:val="none"/>
              <w:shd w:fill="auto" w:val="clear"/>
              <w:vertAlign w:val="baseline"/>
            </w:rPr>
          </w:pPr>
          <w:r w:rsidDel="00000000" w:rsidR="00000000" w:rsidRPr="00000000">
            <w:fldChar w:fldCharType="begin"/>
            <w:instrText xml:space="preserve"> TOC \h \u \z </w:instrText>
            <w:fldChar w:fldCharType="separate"/>
          </w:r>
          <w:hyperlink w:anchor="_heading=h.3znysh7">
            <w:r w:rsidDel="00000000" w:rsidR="00000000" w:rsidRPr="00000000">
              <w:rPr>
                <w:rFonts w:ascii="Arial" w:cs="Arial" w:eastAsia="Arial" w:hAnsi="Arial"/>
                <w:b w:val="1"/>
                <w:i w:val="0"/>
                <w:smallCaps w:val="0"/>
                <w:strike w:val="0"/>
                <w:color w:val="1e1a34"/>
                <w:sz w:val="21"/>
                <w:szCs w:val="21"/>
                <w:u w:val="none"/>
                <w:shd w:fill="auto" w:val="clear"/>
                <w:vertAlign w:val="baseline"/>
                <w:rtl w:val="0"/>
              </w:rPr>
              <w:t xml:space="preserve">1. Introduction</w:t>
            </w:r>
          </w:hyperlink>
          <w:r w:rsidDel="00000000" w:rsidR="00000000" w:rsidRPr="00000000">
            <w:rPr>
              <w:rFonts w:ascii="Arial" w:cs="Arial" w:eastAsia="Arial" w:hAnsi="Arial"/>
              <w:b w:val="1"/>
              <w:i w:val="0"/>
              <w:smallCaps w:val="0"/>
              <w:strike w:val="0"/>
              <w:color w:val="1e1a34"/>
              <w:sz w:val="21"/>
              <w:szCs w:val="21"/>
              <w:u w:val="none"/>
              <w:shd w:fill="auto" w:val="clear"/>
              <w:vertAlign w:val="baseline"/>
              <w:rtl w:val="0"/>
            </w:rPr>
            <w:tab/>
          </w:r>
          <w:r w:rsidDel="00000000" w:rsidR="00000000" w:rsidRPr="00000000">
            <w:fldChar w:fldCharType="begin"/>
            <w:instrText xml:space="preserve"> PAGEREF _heading=h.3znysh7 \h </w:instrText>
            <w:fldChar w:fldCharType="separate"/>
          </w:r>
          <w:r w:rsidDel="00000000" w:rsidR="00000000" w:rsidRPr="00000000">
            <w:rPr>
              <w:rFonts w:ascii="Arial" w:cs="Arial" w:eastAsia="Arial" w:hAnsi="Arial"/>
              <w:b w:val="1"/>
              <w:i w:val="0"/>
              <w:smallCaps w:val="0"/>
              <w:strike w:val="0"/>
              <w:color w:val="1e1a34"/>
              <w:sz w:val="21"/>
              <w:szCs w:val="21"/>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025.511811023624"/>
            </w:tabs>
            <w:spacing w:before="60" w:line="240" w:lineRule="auto"/>
            <w:ind w:left="360" w:firstLine="0"/>
            <w:rPr>
              <w:rFonts w:ascii="Arial" w:cs="Arial" w:eastAsia="Arial" w:hAnsi="Arial"/>
              <w:b w:val="1"/>
              <w:i w:val="0"/>
              <w:smallCaps w:val="0"/>
              <w:strike w:val="0"/>
              <w:color w:val="000000"/>
              <w:sz w:val="21"/>
              <w:szCs w:val="21"/>
              <w:u w:val="none"/>
              <w:shd w:fill="auto" w:val="clear"/>
              <w:vertAlign w:val="baseline"/>
            </w:rPr>
          </w:pPr>
          <w:hyperlink w:anchor="_heading=h.xslvcu779f71">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1.1. EDSSI Usability Report for eArchive and eSignature: key findings</w:t>
            </w:r>
          </w:hyperlink>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ab/>
          </w:r>
          <w:r w:rsidDel="00000000" w:rsidR="00000000" w:rsidRPr="00000000">
            <w:fldChar w:fldCharType="begin"/>
            <w:instrText xml:space="preserve"> PAGEREF _heading=h.xslvcu779f71 \h </w:instrText>
            <w:fldChar w:fldCharType="separate"/>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025.511811023624"/>
            </w:tabs>
            <w:spacing w:before="60" w:line="240" w:lineRule="auto"/>
            <w:ind w:left="720" w:firstLine="0"/>
            <w:rPr>
              <w:rFonts w:ascii="Arial" w:cs="Arial" w:eastAsia="Arial" w:hAnsi="Arial"/>
              <w:b w:val="1"/>
              <w:i w:val="0"/>
              <w:smallCaps w:val="0"/>
              <w:strike w:val="0"/>
              <w:color w:val="000000"/>
              <w:sz w:val="21"/>
              <w:szCs w:val="21"/>
              <w:u w:val="none"/>
              <w:shd w:fill="auto" w:val="clear"/>
              <w:vertAlign w:val="baseline"/>
            </w:rPr>
          </w:pPr>
          <w:hyperlink w:anchor="_heading=h.6i6yhnqtnlgb">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eArchiving</w:t>
            </w:r>
          </w:hyperlink>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ab/>
          </w:r>
          <w:r w:rsidDel="00000000" w:rsidR="00000000" w:rsidRPr="00000000">
            <w:fldChar w:fldCharType="begin"/>
            <w:instrText xml:space="preserve"> PAGEREF _heading=h.6i6yhnqtnlgb \h </w:instrText>
            <w:fldChar w:fldCharType="separate"/>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025.511811023624"/>
            </w:tabs>
            <w:spacing w:before="60" w:line="240" w:lineRule="auto"/>
            <w:ind w:left="720" w:firstLine="0"/>
            <w:rPr>
              <w:rFonts w:ascii="Arial" w:cs="Arial" w:eastAsia="Arial" w:hAnsi="Arial"/>
              <w:b w:val="1"/>
              <w:i w:val="0"/>
              <w:smallCaps w:val="0"/>
              <w:strike w:val="0"/>
              <w:color w:val="000000"/>
              <w:sz w:val="21"/>
              <w:szCs w:val="21"/>
              <w:u w:val="none"/>
              <w:shd w:fill="auto" w:val="clear"/>
              <w:vertAlign w:val="baseline"/>
            </w:rPr>
          </w:pPr>
          <w:hyperlink w:anchor="_heading=h.v7sw3szaiomu">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eSignature</w:t>
            </w:r>
          </w:hyperlink>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ab/>
          </w:r>
          <w:r w:rsidDel="00000000" w:rsidR="00000000" w:rsidRPr="00000000">
            <w:fldChar w:fldCharType="begin"/>
            <w:instrText xml:space="preserve"> PAGEREF _heading=h.v7sw3szaiomu \h </w:instrText>
            <w:fldChar w:fldCharType="separate"/>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025.511811023624"/>
            </w:tabs>
            <w:spacing w:before="200" w:line="240" w:lineRule="auto"/>
            <w:ind w:left="0" w:firstLine="0"/>
            <w:rPr>
              <w:rFonts w:ascii="Arial" w:cs="Arial" w:eastAsia="Arial" w:hAnsi="Arial"/>
              <w:b w:val="1"/>
              <w:i w:val="0"/>
              <w:smallCaps w:val="0"/>
              <w:strike w:val="0"/>
              <w:color w:val="1e1a34"/>
              <w:sz w:val="21"/>
              <w:szCs w:val="21"/>
              <w:u w:val="none"/>
              <w:shd w:fill="auto" w:val="clear"/>
              <w:vertAlign w:val="baseline"/>
            </w:rPr>
          </w:pPr>
          <w:hyperlink w:anchor="_heading=h.4d34og8">
            <w:r w:rsidDel="00000000" w:rsidR="00000000" w:rsidRPr="00000000">
              <w:rPr>
                <w:rFonts w:ascii="Arial" w:cs="Arial" w:eastAsia="Arial" w:hAnsi="Arial"/>
                <w:b w:val="1"/>
                <w:i w:val="0"/>
                <w:smallCaps w:val="0"/>
                <w:strike w:val="0"/>
                <w:color w:val="1e1a34"/>
                <w:sz w:val="21"/>
                <w:szCs w:val="21"/>
                <w:u w:val="none"/>
                <w:shd w:fill="auto" w:val="clear"/>
                <w:vertAlign w:val="baseline"/>
                <w:rtl w:val="0"/>
              </w:rPr>
              <w:t xml:space="preserve">2. Analysis of the requirements under EDSSI L2</w:t>
            </w:r>
          </w:hyperlink>
          <w:r w:rsidDel="00000000" w:rsidR="00000000" w:rsidRPr="00000000">
            <w:rPr>
              <w:rFonts w:ascii="Arial" w:cs="Arial" w:eastAsia="Arial" w:hAnsi="Arial"/>
              <w:b w:val="1"/>
              <w:i w:val="0"/>
              <w:smallCaps w:val="0"/>
              <w:strike w:val="0"/>
              <w:color w:val="1e1a34"/>
              <w:sz w:val="21"/>
              <w:szCs w:val="21"/>
              <w:u w:val="none"/>
              <w:shd w:fill="auto" w:val="clear"/>
              <w:vertAlign w:val="baseline"/>
              <w:rtl w:val="0"/>
            </w:rPr>
            <w:tab/>
          </w:r>
          <w:r w:rsidDel="00000000" w:rsidR="00000000" w:rsidRPr="00000000">
            <w:fldChar w:fldCharType="begin"/>
            <w:instrText xml:space="preserve"> PAGEREF _heading=h.4d34og8 \h </w:instrText>
            <w:fldChar w:fldCharType="separate"/>
          </w:r>
          <w:r w:rsidDel="00000000" w:rsidR="00000000" w:rsidRPr="00000000">
            <w:rPr>
              <w:rFonts w:ascii="Arial" w:cs="Arial" w:eastAsia="Arial" w:hAnsi="Arial"/>
              <w:b w:val="1"/>
              <w:i w:val="0"/>
              <w:smallCaps w:val="0"/>
              <w:strike w:val="0"/>
              <w:color w:val="1e1a34"/>
              <w:sz w:val="21"/>
              <w:szCs w:val="21"/>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025.511811023624"/>
            </w:tabs>
            <w:spacing w:before="60" w:line="240" w:lineRule="auto"/>
            <w:ind w:left="360" w:firstLine="0"/>
            <w:rPr>
              <w:rFonts w:ascii="Arial" w:cs="Arial" w:eastAsia="Arial" w:hAnsi="Arial"/>
              <w:b w:val="1"/>
              <w:i w:val="0"/>
              <w:smallCaps w:val="0"/>
              <w:strike w:val="0"/>
              <w:color w:val="000000"/>
              <w:sz w:val="21"/>
              <w:szCs w:val="21"/>
              <w:u w:val="none"/>
              <w:shd w:fill="auto" w:val="clear"/>
              <w:vertAlign w:val="baseline"/>
            </w:rPr>
          </w:pPr>
          <w:hyperlink w:anchor="_heading=h.1s04hoxqg9n1">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2.1 eSignature service</w:t>
            </w:r>
          </w:hyperlink>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ab/>
          </w:r>
          <w:r w:rsidDel="00000000" w:rsidR="00000000" w:rsidRPr="00000000">
            <w:fldChar w:fldCharType="begin"/>
            <w:instrText xml:space="preserve"> PAGEREF _heading=h.1s04hoxqg9n1 \h </w:instrText>
            <w:fldChar w:fldCharType="separate"/>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025.511811023624"/>
            </w:tabs>
            <w:spacing w:before="60" w:line="240" w:lineRule="auto"/>
            <w:ind w:left="360" w:firstLine="0"/>
            <w:rPr>
              <w:rFonts w:ascii="Arial" w:cs="Arial" w:eastAsia="Arial" w:hAnsi="Arial"/>
              <w:b w:val="1"/>
              <w:i w:val="0"/>
              <w:smallCaps w:val="0"/>
              <w:strike w:val="0"/>
              <w:color w:val="000000"/>
              <w:sz w:val="21"/>
              <w:szCs w:val="21"/>
              <w:u w:val="none"/>
              <w:shd w:fill="auto" w:val="clear"/>
              <w:vertAlign w:val="baseline"/>
            </w:rPr>
          </w:pPr>
          <w:hyperlink w:anchor="_heading=h.r8d2suvngvcc">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2.2 eArchive service</w:t>
            </w:r>
          </w:hyperlink>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ab/>
          </w:r>
          <w:r w:rsidDel="00000000" w:rsidR="00000000" w:rsidRPr="00000000">
            <w:fldChar w:fldCharType="begin"/>
            <w:instrText xml:space="preserve"> PAGEREF _heading=h.r8d2suvngvcc \h </w:instrText>
            <w:fldChar w:fldCharType="separate"/>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pos="9025.511811023624"/>
            </w:tabs>
            <w:spacing w:after="80" w:before="200" w:line="240" w:lineRule="auto"/>
            <w:ind w:left="0" w:firstLine="0"/>
            <w:rPr>
              <w:rFonts w:ascii="Arial" w:cs="Arial" w:eastAsia="Arial" w:hAnsi="Arial"/>
              <w:b w:val="1"/>
              <w:i w:val="0"/>
              <w:smallCaps w:val="0"/>
              <w:strike w:val="0"/>
              <w:color w:val="000000"/>
              <w:sz w:val="21"/>
              <w:szCs w:val="21"/>
              <w:u w:val="none"/>
              <w:shd w:fill="auto" w:val="clear"/>
              <w:vertAlign w:val="baseline"/>
            </w:rPr>
          </w:pPr>
          <w:hyperlink w:anchor="_heading=h.kufcgsguyxiv">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3. Next Steps</w:t>
            </w:r>
          </w:hyperlink>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ab/>
          </w:r>
          <w:r w:rsidDel="00000000" w:rsidR="00000000" w:rsidRPr="00000000">
            <w:fldChar w:fldCharType="begin"/>
            <w:instrText xml:space="preserve"> PAGEREF _heading=h.kufcgsguyxiv \h </w:instrText>
            <w:fldChar w:fldCharType="separate"/>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6</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9">
      <w:pPr>
        <w:rPr/>
      </w:pPr>
      <w:bookmarkStart w:colFirst="0" w:colLast="0" w:name="_heading=h.gh1wt5wdd02u" w:id="1"/>
      <w:bookmarkEnd w:id="1"/>
      <w:r w:rsidDel="00000000" w:rsidR="00000000" w:rsidRPr="00000000">
        <w:br w:type="page"/>
      </w:r>
      <w:r w:rsidDel="00000000" w:rsidR="00000000" w:rsidRPr="00000000">
        <w:rPr>
          <w:rtl w:val="0"/>
        </w:rPr>
      </w:r>
    </w:p>
    <w:p w:rsidR="00000000" w:rsidDel="00000000" w:rsidP="00000000" w:rsidRDefault="00000000" w:rsidRPr="00000000" w14:paraId="0000001A">
      <w:pPr>
        <w:pStyle w:val="Heading1"/>
        <w:numPr>
          <w:ilvl w:val="0"/>
          <w:numId w:val="4"/>
        </w:numPr>
        <w:ind w:left="360" w:hanging="360"/>
        <w:rPr>
          <w:color w:val="1cadb8"/>
        </w:rPr>
      </w:pPr>
      <w:bookmarkStart w:colFirst="0" w:colLast="0" w:name="_heading=h.3znysh7" w:id="2"/>
      <w:bookmarkEnd w:id="2"/>
      <w:r w:rsidDel="00000000" w:rsidR="00000000" w:rsidRPr="00000000">
        <w:rPr>
          <w:color w:val="1cadb8"/>
          <w:rtl w:val="0"/>
        </w:rPr>
        <w:t xml:space="preserve">Introduction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The EDSSI L2 project builds on the results of its predecessor the EDSSI project which ended in August 2022. The EDSSI project focused on consolidating, expanding and further digitalising the Erasmus+ infrastructure and on enabling federated access to Erasmus+ core services as well as on progressively ensuring a seamless integration of elDAS authentication and identification, eduGAIN and ESI.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One of the outcomes of EDSSI was the report on the “</w:t>
      </w:r>
      <w:hyperlink r:id="rId10">
        <w:r w:rsidDel="00000000" w:rsidR="00000000" w:rsidRPr="00000000">
          <w:rPr>
            <w:rFonts w:ascii="Helvetica Neue" w:cs="Helvetica Neue" w:eastAsia="Helvetica Neue" w:hAnsi="Helvetica Neue"/>
            <w:color w:val="1155cc"/>
            <w:u w:val="single"/>
            <w:rtl w:val="0"/>
          </w:rPr>
          <w:t xml:space="preserve">Usability Report for other CEF Building Blocks in relation to the European Digital Student Service infrastructure</w:t>
        </w:r>
      </w:hyperlink>
      <w:r w:rsidDel="00000000" w:rsidR="00000000" w:rsidRPr="00000000">
        <w:rPr>
          <w:rFonts w:ascii="Helvetica Neue" w:cs="Helvetica Neue" w:eastAsia="Helvetica Neue" w:hAnsi="Helvetica Neue"/>
          <w:rtl w:val="0"/>
        </w:rPr>
        <w:t xml:space="preserve">”. The report, in short called the CEF B</w:t>
      </w:r>
      <w:r w:rsidDel="00000000" w:rsidR="00000000" w:rsidRPr="00000000">
        <w:rPr>
          <w:rFonts w:ascii="Helvetica Neue" w:cs="Helvetica Neue" w:eastAsia="Helvetica Neue" w:hAnsi="Helvetica Neue"/>
          <w:rtl w:val="0"/>
        </w:rPr>
        <w:t xml:space="preserve">uilding</w:t>
      </w:r>
      <w:r w:rsidDel="00000000" w:rsidR="00000000" w:rsidRPr="00000000">
        <w:rPr>
          <w:rFonts w:ascii="Helvetica Neue" w:cs="Helvetica Neue" w:eastAsia="Helvetica Neue" w:hAnsi="Helvetica Neue"/>
          <w:rtl w:val="0"/>
        </w:rPr>
        <w:t xml:space="preserve"> Blocks R</w:t>
      </w:r>
      <w:r w:rsidDel="00000000" w:rsidR="00000000" w:rsidRPr="00000000">
        <w:rPr>
          <w:rFonts w:ascii="Helvetica Neue" w:cs="Helvetica Neue" w:eastAsia="Helvetica Neue" w:hAnsi="Helvetica Neue"/>
          <w:rtl w:val="0"/>
        </w:rPr>
        <w:t xml:space="preserve">eport, went</w:t>
      </w:r>
      <w:r w:rsidDel="00000000" w:rsidR="00000000" w:rsidRPr="00000000">
        <w:rPr>
          <w:rFonts w:ascii="Helvetica Neue" w:cs="Helvetica Neue" w:eastAsia="Helvetica Neue" w:hAnsi="Helvetica Neue"/>
          <w:rtl w:val="0"/>
        </w:rPr>
        <w:t xml:space="preserve"> through multiple iterations and</w:t>
      </w:r>
      <w:r w:rsidDel="00000000" w:rsidR="00000000" w:rsidRPr="00000000">
        <w:rPr>
          <w:rtl w:val="0"/>
        </w:rPr>
        <w:t xml:space="preserve"> the final version of the report was published at the end of the EDSSI project. The final version was the result of a collaboration between the EDSSI and </w:t>
      </w:r>
      <w:r w:rsidDel="00000000" w:rsidR="00000000" w:rsidRPr="00000000">
        <w:rPr>
          <w:rtl w:val="0"/>
        </w:rPr>
        <w:t xml:space="preserve">EDSSI</w:t>
      </w:r>
      <w:r w:rsidDel="00000000" w:rsidR="00000000" w:rsidRPr="00000000">
        <w:rPr>
          <w:rtl w:val="0"/>
        </w:rPr>
        <w:t xml:space="preserve"> L2 project.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The CEF Building Blocks are a series of initiatives promoted, adopted, or developed by the European Commission’s Connecting Europe Facilities (CEF) programme to obtain a set of components to offer basic capabilities in many fields of the digital activity that can be reused by any European public entity to facilitate the delivery of digital services across borders and sectors (including private sector entities) of the digital market scene. These Building Blocks are reusable specifications, software and services that can potentially form part of a wide variety of IT systems in different policy domains of the EU.</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The </w:t>
      </w:r>
      <w:r w:rsidDel="00000000" w:rsidR="00000000" w:rsidRPr="00000000">
        <w:rPr>
          <w:rFonts w:ascii="Helvetica Neue" w:cs="Helvetica Neue" w:eastAsia="Helvetica Neue" w:hAnsi="Helvetica Neue"/>
          <w:rtl w:val="0"/>
        </w:rPr>
        <w:t xml:space="preserve">CEF Building Blocks </w:t>
      </w:r>
      <w:r w:rsidDel="00000000" w:rsidR="00000000" w:rsidRPr="00000000">
        <w:rPr>
          <w:rtl w:val="0"/>
        </w:rPr>
        <w:t xml:space="preserve">R</w:t>
      </w:r>
      <w:r w:rsidDel="00000000" w:rsidR="00000000" w:rsidRPr="00000000">
        <w:rPr>
          <w:rtl w:val="0"/>
        </w:rPr>
        <w:t xml:space="preserve">eport provides a comprehensive analysis of the mission and functionalities of three CEF Building Blocks,  eSignature, eDelivery and eArchiving and an overall analysis of the potential they can offer for the future evolution of the European Digital Student Service Infrastructure.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The EDSSI L2 project further </w:t>
      </w:r>
      <w:r w:rsidDel="00000000" w:rsidR="00000000" w:rsidRPr="00000000">
        <w:rPr>
          <w:rtl w:val="0"/>
        </w:rPr>
        <w:t xml:space="preserve">analysed the</w:t>
      </w:r>
      <w:r w:rsidDel="00000000" w:rsidR="00000000" w:rsidRPr="00000000">
        <w:rPr>
          <w:rtl w:val="0"/>
        </w:rPr>
        <w:t xml:space="preserve"> findings of the</w:t>
      </w:r>
      <w:r w:rsidDel="00000000" w:rsidR="00000000" w:rsidRPr="00000000">
        <w:rPr>
          <w:rFonts w:ascii="Helvetica Neue" w:cs="Helvetica Neue" w:eastAsia="Helvetica Neue" w:hAnsi="Helvetica Neue"/>
          <w:rtl w:val="0"/>
        </w:rPr>
        <w:t xml:space="preserve"> CEF Building Blocks Report,</w:t>
      </w:r>
      <w:r w:rsidDel="00000000" w:rsidR="00000000" w:rsidRPr="00000000">
        <w:rPr>
          <w:rtl w:val="0"/>
        </w:rPr>
        <w:t xml:space="preserve"> in light of the work planned under Activity 2 “Deploying CEF building blocks and e-Services”.</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The analysis is described in this report; the focus is on the  requirements for solutions that build on the eSignature and eArchive CEF building blocks; a dedicated report on the eTranslation CEF building block will be produced in 2023.</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This document is </w:t>
      </w:r>
      <w:r w:rsidDel="00000000" w:rsidR="00000000" w:rsidRPr="00000000">
        <w:rPr>
          <w:rtl w:val="0"/>
        </w:rPr>
        <w:t xml:space="preserve">purposely</w:t>
      </w:r>
      <w:r w:rsidDel="00000000" w:rsidR="00000000" w:rsidRPr="00000000">
        <w:rPr>
          <w:rtl w:val="0"/>
        </w:rPr>
        <w:t xml:space="preserve"> kept rather short, as it is </w:t>
      </w:r>
      <w:r w:rsidDel="00000000" w:rsidR="00000000" w:rsidRPr="00000000">
        <w:rPr>
          <w:rtl w:val="0"/>
        </w:rPr>
        <w:t xml:space="preserve">intended</w:t>
      </w:r>
      <w:r w:rsidDel="00000000" w:rsidR="00000000" w:rsidRPr="00000000">
        <w:rPr>
          <w:rtl w:val="0"/>
        </w:rPr>
        <w:t xml:space="preserve"> to </w:t>
      </w:r>
      <w:r w:rsidDel="00000000" w:rsidR="00000000" w:rsidRPr="00000000">
        <w:rPr>
          <w:rtl w:val="0"/>
        </w:rPr>
        <w:t xml:space="preserve">be an extension</w:t>
      </w:r>
      <w:r w:rsidDel="00000000" w:rsidR="00000000" w:rsidRPr="00000000">
        <w:rPr>
          <w:rtl w:val="0"/>
        </w:rPr>
        <w:t xml:space="preserve"> of the </w:t>
      </w:r>
      <w:r w:rsidDel="00000000" w:rsidR="00000000" w:rsidRPr="00000000">
        <w:rPr>
          <w:rtl w:val="0"/>
        </w:rPr>
        <w:t xml:space="preserve">CEF Building Blocks Report which is very exhaustive. For more details on CEF Building Blocks it suggested to refer to the EDSSI Report. </w:t>
      </w: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pStyle w:val="Heading2"/>
        <w:numPr>
          <w:ilvl w:val="1"/>
          <w:numId w:val="4"/>
        </w:numPr>
        <w:ind w:left="792" w:hanging="432"/>
        <w:rPr>
          <w:color w:val="7f207f"/>
        </w:rPr>
      </w:pPr>
      <w:bookmarkStart w:colFirst="0" w:colLast="0" w:name="_heading=h.xslvcu779f71" w:id="3"/>
      <w:bookmarkEnd w:id="3"/>
      <w:r w:rsidDel="00000000" w:rsidR="00000000" w:rsidRPr="00000000">
        <w:rPr>
          <w:color w:val="7f207f"/>
          <w:rtl w:val="0"/>
        </w:rPr>
        <w:t xml:space="preserve">EDSSI Usability Report for eArchive and eSignature: key findings</w:t>
      </w:r>
    </w:p>
    <w:p w:rsidR="00000000" w:rsidDel="00000000" w:rsidP="00000000" w:rsidRDefault="00000000" w:rsidRPr="00000000" w14:paraId="0000002C">
      <w:pPr>
        <w:spacing w:before="240" w:lineRule="auto"/>
        <w:rPr/>
      </w:pPr>
      <w:r w:rsidDel="00000000" w:rsidR="00000000" w:rsidRPr="00000000">
        <w:rPr>
          <w:rtl w:val="0"/>
        </w:rPr>
        <w:t xml:space="preserve">The CEF Building Blocks help promote the adoption of the same open standards and technical specifications across different sectors of the EU, for basic and common functionalities to many digital services, thus helping achieve the effective interoperability across borders and sectors. By using one or more of the building blocks, digital services can be developed faster, in a simpler and more cost-efficient way, using existing, proven and “policies’ compliant” technologies, instead of requesting each organization to re-develop those services on their own.</w:t>
      </w:r>
    </w:p>
    <w:p w:rsidR="00000000" w:rsidDel="00000000" w:rsidP="00000000" w:rsidRDefault="00000000" w:rsidRPr="00000000" w14:paraId="0000002D">
      <w:pPr>
        <w:spacing w:before="240" w:lineRule="auto"/>
        <w:rPr/>
      </w:pPr>
      <w:r w:rsidDel="00000000" w:rsidR="00000000" w:rsidRPr="00000000">
        <w:rPr>
          <w:rtl w:val="0"/>
        </w:rPr>
        <w:t xml:space="preserve">This chapter summarises the main findings about the eArchive and eSignature building blocks that were presented in the CEF Building Blocks Report and how these blocks are used in the EDSSI L2 project to prototype services that can be used in the context of Erasmus+. </w:t>
      </w:r>
    </w:p>
    <w:p w:rsidR="00000000" w:rsidDel="00000000" w:rsidP="00000000" w:rsidRDefault="00000000" w:rsidRPr="00000000" w14:paraId="0000002E">
      <w:pPr>
        <w:spacing w:before="240" w:lineRule="auto"/>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pStyle w:val="Heading3"/>
        <w:rPr/>
      </w:pPr>
      <w:bookmarkStart w:colFirst="0" w:colLast="0" w:name="_heading=h.6i6yhnqtnlgb" w:id="4"/>
      <w:bookmarkEnd w:id="4"/>
      <w:r w:rsidDel="00000000" w:rsidR="00000000" w:rsidRPr="00000000">
        <w:rPr>
          <w:rtl w:val="0"/>
        </w:rPr>
        <w:t xml:space="preserve">eArchiving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pPr>
      <w:r w:rsidDel="00000000" w:rsidR="00000000" w:rsidRPr="00000000">
        <w:rPr>
          <w:rtl w:val="0"/>
        </w:rPr>
        <w:t xml:space="preserve">The goal of eArchiving is to keep large amounts of digital documents accessible and reusable for long periods of time, regardless of the system used to store it, and facilitating the migration to future technologies.</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pPr>
      <w:r w:rsidDel="00000000" w:rsidR="00000000" w:rsidRPr="00000000">
        <w:rPr>
          <w:rtl w:val="0"/>
        </w:rPr>
        <w:t xml:space="preserve">The </w:t>
      </w:r>
      <w:r w:rsidDel="00000000" w:rsidR="00000000" w:rsidRPr="00000000">
        <w:rPr>
          <w:rtl w:val="0"/>
        </w:rPr>
        <w:t xml:space="preserve">EDSSI</w:t>
      </w:r>
      <w:r w:rsidDel="00000000" w:rsidR="00000000" w:rsidRPr="00000000">
        <w:rPr>
          <w:rtl w:val="0"/>
        </w:rPr>
        <w:t xml:space="preserve"> report noted that the need for document management within the EDSSI project  was limited in both data volume and lifespan; this need remains the same within the EDSSI L2 project. Participating HEIs in general have their own internal processes to enable  eArchiving; most of these processes are usually managed within the HEI </w:t>
      </w:r>
      <w:r w:rsidDel="00000000" w:rsidR="00000000" w:rsidRPr="00000000">
        <w:rPr>
          <w:rtl w:val="0"/>
        </w:rPr>
        <w:t xml:space="preserve">workflows</w:t>
      </w:r>
      <w:r w:rsidDel="00000000" w:rsidR="00000000" w:rsidRPr="00000000">
        <w:rPr>
          <w:rtl w:val="0"/>
        </w:rPr>
        <w:t xml:space="preserve"> and policies;  in some cases there are national initiatives available to HEI for the longer term archiving.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pPr>
      <w:r w:rsidDel="00000000" w:rsidR="00000000" w:rsidRPr="00000000">
        <w:rPr>
          <w:rtl w:val="0"/>
        </w:rPr>
        <w:t xml:space="preserve">EDSSI and EDSSI L2 projects have not identified additional long-term needs related to that require additional provisions to what is already available within the universities. HEIs could use eArchiving built on generic Member States centred deployments, but this would be outside the scope of EDSSI.</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pPr>
      <w:r w:rsidDel="00000000" w:rsidR="00000000" w:rsidRPr="00000000">
        <w:rPr>
          <w:rtl w:val="0"/>
        </w:rPr>
        <w:t xml:space="preserve">T</w:t>
      </w:r>
      <w:r w:rsidDel="00000000" w:rsidR="00000000" w:rsidRPr="00000000">
        <w:rPr>
          <w:rtl w:val="0"/>
        </w:rPr>
        <w:t xml:space="preserve">he only convergence would be for </w:t>
      </w:r>
      <w:r w:rsidDel="00000000" w:rsidR="00000000" w:rsidRPr="00000000">
        <w:rPr>
          <w:rtl w:val="0"/>
        </w:rPr>
        <w:t xml:space="preserve">EDSSI</w:t>
      </w:r>
      <w:r w:rsidDel="00000000" w:rsidR="00000000" w:rsidRPr="00000000">
        <w:rPr>
          <w:rtl w:val="0"/>
        </w:rPr>
        <w:t xml:space="preserve"> to have interfaces to generate relevant data in a format that is compliant with the eArchive specifications</w:t>
      </w:r>
      <w:r w:rsidDel="00000000" w:rsidR="00000000" w:rsidRPr="00000000">
        <w:rPr>
          <w:rtl w:val="0"/>
        </w:rPr>
        <w:t xml:space="preserve"> so that the Erasmus+ process can be integrated with general-purpose eArchiving deployments either within the universities or nationally.</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The CEF building block report noted that:</w:t>
      </w:r>
    </w:p>
    <w:p w:rsidR="00000000" w:rsidDel="00000000" w:rsidP="00000000" w:rsidRDefault="00000000" w:rsidRPr="00000000" w14:paraId="00000039">
      <w:pPr>
        <w:numPr>
          <w:ilvl w:val="0"/>
          <w:numId w:val="1"/>
        </w:numPr>
        <w:ind w:left="720" w:hanging="360"/>
        <w:rPr>
          <w:u w:val="none"/>
        </w:rPr>
      </w:pPr>
      <w:r w:rsidDel="00000000" w:rsidR="00000000" w:rsidRPr="00000000">
        <w:rPr>
          <w:rtl w:val="0"/>
        </w:rPr>
        <w:t xml:space="preserve">In the</w:t>
      </w:r>
      <w:r w:rsidDel="00000000" w:rsidR="00000000" w:rsidRPr="00000000">
        <w:rPr>
          <w:rtl w:val="0"/>
        </w:rPr>
        <w:t xml:space="preserve"> EDSSI/EDSSI L2 priority was given to the integration of eduGAIN, eIDAS, roll out of ESI and support for not federated institutions. As such no specific need for eArchiving was identified to pilot e a centralised solution</w:t>
      </w:r>
      <w:r w:rsidDel="00000000" w:rsidR="00000000" w:rsidRPr="00000000">
        <w:rPr>
          <w:rtl w:val="0"/>
        </w:rPr>
      </w:r>
    </w:p>
    <w:p w:rsidR="00000000" w:rsidDel="00000000" w:rsidP="00000000" w:rsidRDefault="00000000" w:rsidRPr="00000000" w14:paraId="0000003A">
      <w:pPr>
        <w:numPr>
          <w:ilvl w:val="0"/>
          <w:numId w:val="1"/>
        </w:numPr>
        <w:ind w:left="720" w:hanging="360"/>
      </w:pPr>
      <w:r w:rsidDel="00000000" w:rsidR="00000000" w:rsidRPr="00000000">
        <w:rPr>
          <w:rtl w:val="0"/>
        </w:rPr>
        <w:t xml:space="preserve">national/regional education organisations are best fit to understand the archiving needs of the participants which can easily accommodate Erasmus+ requirements</w:t>
      </w:r>
    </w:p>
    <w:p w:rsidR="00000000" w:rsidDel="00000000" w:rsidP="00000000" w:rsidRDefault="00000000" w:rsidRPr="00000000" w14:paraId="0000003B">
      <w:pPr>
        <w:numPr>
          <w:ilvl w:val="0"/>
          <w:numId w:val="1"/>
        </w:numPr>
        <w:ind w:left="720" w:hanging="360"/>
      </w:pPr>
      <w:r w:rsidDel="00000000" w:rsidR="00000000" w:rsidRPr="00000000">
        <w:rPr>
          <w:rtl w:val="0"/>
        </w:rPr>
        <w:t xml:space="preserve">the institutions adapts to and/or deploys the eArchiving infrastructure solutions, in order to maximise preservation, migration and interoperability capabilities of Erasmus+ documentation among others,</w:t>
      </w:r>
    </w:p>
    <w:p w:rsidR="00000000" w:rsidDel="00000000" w:rsidP="00000000" w:rsidRDefault="00000000" w:rsidRPr="00000000" w14:paraId="0000003C">
      <w:pPr>
        <w:numPr>
          <w:ilvl w:val="0"/>
          <w:numId w:val="1"/>
        </w:numPr>
        <w:ind w:left="720" w:hanging="360"/>
        <w:rPr>
          <w:i w:val="1"/>
        </w:rPr>
      </w:pPr>
      <w:r w:rsidDel="00000000" w:rsidR="00000000" w:rsidRPr="00000000">
        <w:rPr>
          <w:i w:val="1"/>
          <w:rtl w:val="0"/>
        </w:rPr>
        <w:t xml:space="preserve">EDSSI L2 could use the OLA (online learning agreement) as a long term preservation use case and explore how to use the eArchive CEF block to deliver a proof-of-concept service to be applied to the eArchiving of </w:t>
      </w:r>
      <w:r w:rsidDel="00000000" w:rsidR="00000000" w:rsidRPr="00000000">
        <w:rPr>
          <w:i w:val="1"/>
          <w:rtl w:val="0"/>
        </w:rPr>
        <w:t xml:space="preserve">transcript </w:t>
      </w:r>
      <w:r w:rsidDel="00000000" w:rsidR="00000000" w:rsidRPr="00000000">
        <w:rPr>
          <w:i w:val="1"/>
          <w:rtl w:val="0"/>
        </w:rPr>
        <w:t xml:space="preserve">of </w:t>
      </w:r>
      <w:r w:rsidDel="00000000" w:rsidR="00000000" w:rsidRPr="00000000">
        <w:rPr>
          <w:i w:val="1"/>
          <w:rtl w:val="0"/>
        </w:rPr>
        <w:t xml:space="preserve">records and how to make that available in open source to the HE community to deploy it locally.</w:t>
      </w: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03D">
      <w:pPr>
        <w:ind w:left="720" w:firstLine="0"/>
        <w:rPr/>
      </w:pPr>
      <w:r w:rsidDel="00000000" w:rsidR="00000000" w:rsidRPr="00000000">
        <w:rPr>
          <w:rtl w:val="0"/>
        </w:rPr>
      </w:r>
    </w:p>
    <w:p w:rsidR="00000000" w:rsidDel="00000000" w:rsidP="00000000" w:rsidRDefault="00000000" w:rsidRPr="00000000" w14:paraId="0000003E">
      <w:pPr>
        <w:pStyle w:val="Heading3"/>
        <w:rPr/>
      </w:pPr>
      <w:bookmarkStart w:colFirst="0" w:colLast="0" w:name="_heading=h.v7sw3szaiomu" w:id="5"/>
      <w:bookmarkEnd w:id="5"/>
      <w:r w:rsidDel="00000000" w:rsidR="00000000" w:rsidRPr="00000000">
        <w:rPr>
          <w:rtl w:val="0"/>
        </w:rPr>
        <w:t xml:space="preserve">eSignature </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The CEF eSignature building block provides the tools to enable the electronic signature for any digital document across Europe; it also allows for the proper verification of the signature and to validate the trust chain, in line with the </w:t>
      </w:r>
      <w:hyperlink r:id="rId11">
        <w:r w:rsidDel="00000000" w:rsidR="00000000" w:rsidRPr="00000000">
          <w:rPr>
            <w:color w:val="1155cc"/>
            <w:u w:val="single"/>
            <w:rtl w:val="0"/>
          </w:rPr>
          <w:t xml:space="preserve">eIDAS Regulation (910/2014)</w:t>
        </w:r>
      </w:hyperlink>
      <w:r w:rsidDel="00000000" w:rsidR="00000000" w:rsidRPr="00000000">
        <w:rPr>
          <w:rtl w:val="0"/>
        </w:rPr>
        <w:t xml:space="preserve"> for e-signatures (meant for citizens), e-seals (the  electronic signature for a legal entity, that is a business or an organisation) and related services offered by Trust Service Providers. </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The EDSSI report noted that the Erasmus+ infrastructure considered under EDSSI could benefit from trusted and legally signed documents. The EDSSI report suggested investigating the following aspects: </w:t>
      </w:r>
    </w:p>
    <w:p w:rsidR="00000000" w:rsidDel="00000000" w:rsidP="00000000" w:rsidRDefault="00000000" w:rsidRPr="00000000" w14:paraId="00000043">
      <w:pPr>
        <w:numPr>
          <w:ilvl w:val="0"/>
          <w:numId w:val="2"/>
        </w:numPr>
        <w:ind w:left="720" w:hanging="360"/>
        <w:rPr>
          <w:u w:val="none"/>
        </w:rPr>
      </w:pPr>
      <w:r w:rsidDel="00000000" w:rsidR="00000000" w:rsidRPr="00000000">
        <w:rPr>
          <w:rtl w:val="0"/>
        </w:rPr>
        <w:t xml:space="preserve">needs in EDSSI to issue legally valid signatures, that is qualified signatures</w:t>
      </w:r>
      <w:r w:rsidDel="00000000" w:rsidR="00000000" w:rsidRPr="00000000">
        <w:rPr>
          <w:rtl w:val="0"/>
        </w:rPr>
        <w:t xml:space="preserve"> (assuming that universities being public bodies would all comply with the eIDAS regulation);</w:t>
      </w:r>
    </w:p>
    <w:p w:rsidR="00000000" w:rsidDel="00000000" w:rsidP="00000000" w:rsidRDefault="00000000" w:rsidRPr="00000000" w14:paraId="00000044">
      <w:pPr>
        <w:numPr>
          <w:ilvl w:val="0"/>
          <w:numId w:val="2"/>
        </w:numPr>
        <w:ind w:left="720" w:hanging="360"/>
        <w:rPr>
          <w:u w:val="none"/>
        </w:rPr>
      </w:pPr>
      <w:r w:rsidDel="00000000" w:rsidR="00000000" w:rsidRPr="00000000">
        <w:rPr>
          <w:rtl w:val="0"/>
        </w:rPr>
        <w:t xml:space="preserve">legal framework that defines liability and the legal actions of stakeholders (students, institutions, the EC)</w:t>
      </w:r>
      <w:r w:rsidDel="00000000" w:rsidR="00000000" w:rsidRPr="00000000">
        <w:rPr>
          <w:rtl w:val="0"/>
        </w:rPr>
        <w:t xml:space="preserve">; in theory as all ECHE holders are already vetted to be able to participate in Erasmus+ and given the differences among the various country, a softer approach could be to start using some form of signatures that could be tested on the Erasmus+ infrastructure.   </w:t>
      </w:r>
    </w:p>
    <w:p w:rsidR="00000000" w:rsidDel="00000000" w:rsidP="00000000" w:rsidRDefault="00000000" w:rsidRPr="00000000" w14:paraId="00000045">
      <w:pPr>
        <w:numPr>
          <w:ilvl w:val="0"/>
          <w:numId w:val="2"/>
        </w:numPr>
        <w:ind w:left="720" w:hanging="360"/>
        <w:rPr>
          <w:u w:val="none"/>
        </w:rPr>
      </w:pPr>
      <w:r w:rsidDel="00000000" w:rsidR="00000000" w:rsidRPr="00000000">
        <w:rPr>
          <w:rtl w:val="0"/>
        </w:rPr>
        <w:t xml:space="preserve">Assessment of costs/benefits for using eIDAS eSignature building blocks, given that the available tools in the building block are not many and they are pretty basic, so any integration would require significant effort. </w:t>
      </w:r>
    </w:p>
    <w:p w:rsidR="00000000" w:rsidDel="00000000" w:rsidP="00000000" w:rsidRDefault="00000000" w:rsidRPr="00000000" w14:paraId="00000046">
      <w:pPr>
        <w:numPr>
          <w:ilvl w:val="0"/>
          <w:numId w:val="2"/>
        </w:numPr>
        <w:ind w:left="720" w:hanging="360"/>
        <w:rPr>
          <w:u w:val="none"/>
        </w:rPr>
      </w:pPr>
      <w:r w:rsidDel="00000000" w:rsidR="00000000" w:rsidRPr="00000000">
        <w:rPr>
          <w:rtl w:val="0"/>
        </w:rPr>
        <w:t xml:space="preserve">The Erasmus+ activities including EDSSI L2 should focus on eSignature implementations where the user flow can be integrated into the business-tools in such a way that the user does not have to download and install additional software</w:t>
      </w:r>
      <w:r w:rsidDel="00000000" w:rsidR="00000000" w:rsidRPr="00000000">
        <w:rPr>
          <w:rtl w:val="0"/>
        </w:rPr>
        <w:t xml:space="preserve"> and so that the resulting solution is secure enough but still reasonable simple to implement. </w:t>
      </w:r>
    </w:p>
    <w:p w:rsidR="00000000" w:rsidDel="00000000" w:rsidP="00000000" w:rsidRDefault="00000000" w:rsidRPr="00000000" w14:paraId="00000047">
      <w:pPr>
        <w:pStyle w:val="Heading4"/>
        <w:ind w:firstLine="0"/>
        <w:rPr/>
      </w:pPr>
      <w:bookmarkStart w:colFirst="0" w:colLast="0" w:name="_heading=h.1t3h5sf" w:id="6"/>
      <w:bookmarkEnd w:id="6"/>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pStyle w:val="Heading1"/>
        <w:numPr>
          <w:ilvl w:val="0"/>
          <w:numId w:val="4"/>
        </w:numPr>
        <w:ind w:left="360" w:hanging="360"/>
        <w:rPr>
          <w:color w:val="1cadb8"/>
        </w:rPr>
      </w:pPr>
      <w:bookmarkStart w:colFirst="0" w:colLast="0" w:name="_heading=h.4d34og8" w:id="7"/>
      <w:bookmarkEnd w:id="7"/>
      <w:r w:rsidDel="00000000" w:rsidR="00000000" w:rsidRPr="00000000">
        <w:rPr>
          <w:color w:val="1cadb8"/>
          <w:rtl w:val="0"/>
        </w:rPr>
        <w:t xml:space="preserve">Analysis of the requirements under EDSSI L2</w:t>
      </w:r>
    </w:p>
    <w:p w:rsidR="00000000" w:rsidDel="00000000" w:rsidP="00000000" w:rsidRDefault="00000000" w:rsidRPr="00000000" w14:paraId="0000004B">
      <w:pPr>
        <w:ind w:left="0" w:firstLine="0"/>
        <w:rPr/>
      </w:pPr>
      <w:r w:rsidDel="00000000" w:rsidR="00000000" w:rsidRPr="00000000">
        <w:rPr>
          <w:rtl w:val="0"/>
        </w:rPr>
      </w:r>
    </w:p>
    <w:p w:rsidR="00000000" w:rsidDel="00000000" w:rsidP="00000000" w:rsidRDefault="00000000" w:rsidRPr="00000000" w14:paraId="0000004C">
      <w:pPr>
        <w:ind w:left="0" w:firstLine="0"/>
        <w:rPr/>
      </w:pPr>
      <w:r w:rsidDel="00000000" w:rsidR="00000000" w:rsidRPr="00000000">
        <w:rPr>
          <w:rtl w:val="0"/>
        </w:rPr>
        <w:t xml:space="preserve">This section describes the requirements for the deployment of new services based on the eSignature and eArchive CEF building blocks. </w:t>
      </w:r>
    </w:p>
    <w:p w:rsidR="00000000" w:rsidDel="00000000" w:rsidP="00000000" w:rsidRDefault="00000000" w:rsidRPr="00000000" w14:paraId="0000004D">
      <w:pPr>
        <w:ind w:left="0" w:firstLine="0"/>
        <w:rPr/>
      </w:pPr>
      <w:r w:rsidDel="00000000" w:rsidR="00000000" w:rsidRPr="00000000">
        <w:rPr>
          <w:rtl w:val="0"/>
        </w:rPr>
      </w:r>
    </w:p>
    <w:p w:rsidR="00000000" w:rsidDel="00000000" w:rsidP="00000000" w:rsidRDefault="00000000" w:rsidRPr="00000000" w14:paraId="0000004E">
      <w:pPr>
        <w:pStyle w:val="Heading2"/>
        <w:rPr>
          <w:color w:val="7f207f"/>
        </w:rPr>
      </w:pPr>
      <w:bookmarkStart w:colFirst="0" w:colLast="0" w:name="_heading=h.1s04hoxqg9n1" w:id="8"/>
      <w:bookmarkEnd w:id="8"/>
      <w:r w:rsidDel="00000000" w:rsidR="00000000" w:rsidRPr="00000000">
        <w:rPr>
          <w:color w:val="7f207f"/>
          <w:rtl w:val="0"/>
        </w:rPr>
        <w:t xml:space="preserve">2.1 </w:t>
      </w:r>
      <w:r w:rsidDel="00000000" w:rsidR="00000000" w:rsidRPr="00000000">
        <w:rPr>
          <w:color w:val="7f207f"/>
          <w:rtl w:val="0"/>
        </w:rPr>
        <w:t xml:space="preserve">eSignature service </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We have identified 3 major requirements on a EDSSI eSignature service:</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numPr>
          <w:ilvl w:val="0"/>
          <w:numId w:val="3"/>
        </w:numPr>
        <w:ind w:left="720" w:hanging="360"/>
        <w:rPr>
          <w:u w:val="none"/>
        </w:rPr>
      </w:pPr>
      <w:r w:rsidDel="00000000" w:rsidR="00000000" w:rsidRPr="00000000">
        <w:rPr>
          <w:rtl w:val="0"/>
        </w:rPr>
        <w:t xml:space="preserve">Ease of deployment</w:t>
      </w:r>
    </w:p>
    <w:p w:rsidR="00000000" w:rsidDel="00000000" w:rsidP="00000000" w:rsidRDefault="00000000" w:rsidRPr="00000000" w14:paraId="00000053">
      <w:pPr>
        <w:numPr>
          <w:ilvl w:val="0"/>
          <w:numId w:val="3"/>
        </w:numPr>
        <w:ind w:left="720" w:hanging="360"/>
        <w:rPr>
          <w:u w:val="none"/>
        </w:rPr>
      </w:pPr>
      <w:r w:rsidDel="00000000" w:rsidR="00000000" w:rsidRPr="00000000">
        <w:rPr>
          <w:rtl w:val="0"/>
        </w:rPr>
        <w:t xml:space="preserve">Compatibility with eIDAS</w:t>
      </w:r>
    </w:p>
    <w:p w:rsidR="00000000" w:rsidDel="00000000" w:rsidP="00000000" w:rsidRDefault="00000000" w:rsidRPr="00000000" w14:paraId="00000054">
      <w:pPr>
        <w:numPr>
          <w:ilvl w:val="0"/>
          <w:numId w:val="3"/>
        </w:numPr>
        <w:ind w:left="720" w:hanging="360"/>
        <w:rPr>
          <w:u w:val="none"/>
        </w:rPr>
      </w:pPr>
      <w:r w:rsidDel="00000000" w:rsidR="00000000" w:rsidRPr="00000000">
        <w:rPr>
          <w:rtl w:val="0"/>
        </w:rPr>
        <w:t xml:space="preserve">Clear path towards the EU digital wallet</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These are high-level requirements and are detailed below:</w:t>
      </w: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numPr>
          <w:ilvl w:val="0"/>
          <w:numId w:val="5"/>
        </w:numPr>
        <w:ind w:left="720" w:hanging="360"/>
        <w:rPr>
          <w:u w:val="none"/>
        </w:rPr>
      </w:pPr>
      <w:r w:rsidDel="00000000" w:rsidR="00000000" w:rsidRPr="00000000">
        <w:rPr>
          <w:b w:val="1"/>
          <w:rtl w:val="0"/>
        </w:rPr>
        <w:t xml:space="preserve">Ease of deployment.</w:t>
      </w:r>
      <w:r w:rsidDel="00000000" w:rsidR="00000000" w:rsidRPr="00000000">
        <w:rPr>
          <w:rtl w:val="0"/>
        </w:rPr>
        <w:t xml:space="preserve"> The first requirement on an eSignature service is that it is easy to make available to users. This probably means building a service which is fully web-based and do</w:t>
      </w:r>
      <w:r w:rsidDel="00000000" w:rsidR="00000000" w:rsidRPr="00000000">
        <w:rPr>
          <w:rtl w:val="0"/>
        </w:rPr>
        <w:t xml:space="preserve">es not require the deployment of separate clients (at this stage anything requiring dedicated signature clients or security token would not be successful),</w:t>
      </w:r>
      <w:r w:rsidDel="00000000" w:rsidR="00000000" w:rsidRPr="00000000">
        <w:rPr>
          <w:rtl w:val="0"/>
        </w:rPr>
        <w:t xml:space="preserve"> complex enrollment process etc. Additionally the service should (for the same reasons) rely on existing authentication mechanisms such as eIDAS eID and eduGAIN.</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numPr>
          <w:ilvl w:val="0"/>
          <w:numId w:val="5"/>
        </w:numPr>
        <w:ind w:left="720" w:hanging="360"/>
        <w:rPr>
          <w:u w:val="none"/>
        </w:rPr>
      </w:pPr>
      <w:r w:rsidDel="00000000" w:rsidR="00000000" w:rsidRPr="00000000">
        <w:rPr>
          <w:b w:val="1"/>
          <w:rtl w:val="0"/>
        </w:rPr>
        <w:t xml:space="preserve">Compatibility with eIDAS.</w:t>
      </w:r>
      <w:r w:rsidDel="00000000" w:rsidR="00000000" w:rsidRPr="00000000">
        <w:rPr>
          <w:rtl w:val="0"/>
        </w:rPr>
        <w:t xml:space="preserve"> The service must generate signatures compatible with formats specified for XML, PDF and JSON signatures supported by the eIDAS reference architecture. </w:t>
      </w:r>
      <w:r w:rsidDel="00000000" w:rsidR="00000000" w:rsidRPr="00000000">
        <w:rPr>
          <w:rtl w:val="0"/>
        </w:rPr>
        <w:t xml:space="preserve">The service should also generate and validate both Simple, Advanced and Qualified signatures</w:t>
      </w:r>
      <w:r w:rsidDel="00000000" w:rsidR="00000000" w:rsidRPr="00000000">
        <w:rPr>
          <w:rtl w:val="0"/>
        </w:rPr>
        <w:t xml:space="preserve">.</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numPr>
          <w:ilvl w:val="0"/>
          <w:numId w:val="5"/>
        </w:numPr>
        <w:ind w:left="720" w:hanging="360"/>
        <w:rPr>
          <w:u w:val="none"/>
        </w:rPr>
      </w:pPr>
      <w:r w:rsidDel="00000000" w:rsidR="00000000" w:rsidRPr="00000000">
        <w:rPr>
          <w:b w:val="1"/>
          <w:rtl w:val="0"/>
        </w:rPr>
        <w:t xml:space="preserve">Clear path towards the EU digital wallet.</w:t>
      </w:r>
      <w:r w:rsidDel="00000000" w:rsidR="00000000" w:rsidRPr="00000000">
        <w:rPr>
          <w:rtl w:val="0"/>
        </w:rPr>
        <w:t xml:space="preserve"> The service should have a strategic path that leads towards </w:t>
      </w:r>
      <w:r w:rsidDel="00000000" w:rsidR="00000000" w:rsidRPr="00000000">
        <w:rPr>
          <w:rtl w:val="0"/>
        </w:rPr>
        <w:t xml:space="preserve">compatibility and eventual integration with the EU digital wallet both as a way to manage identity and signatures. Deployment of client software for digital signatures today would be a waste of time and effort when dedicated funding has been made available to create an EU digital wallet. Instead the service should be created in such a way that the wallet can be connected to and eventually assume some of the functionality of the eSignature service.</w:t>
      </w: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The Swedish Research Council has started to work on the deployment of eSignature service based on the </w:t>
      </w:r>
      <w:hyperlink r:id="rId12">
        <w:r w:rsidDel="00000000" w:rsidR="00000000" w:rsidRPr="00000000">
          <w:rPr>
            <w:color w:val="1155cc"/>
            <w:u w:val="single"/>
            <w:rtl w:val="0"/>
          </w:rPr>
          <w:t xml:space="preserve">eduSign service</w:t>
        </w:r>
      </w:hyperlink>
      <w:r w:rsidDel="00000000" w:rsidR="00000000" w:rsidRPr="00000000">
        <w:rPr>
          <w:rtl w:val="0"/>
        </w:rPr>
        <w:t xml:space="preserve"> that will be tested with the OLA and later on the housing application pending its availability that is delayed. </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jc w:val="center"/>
        <w:rPr/>
      </w:pPr>
      <w:r w:rsidDel="00000000" w:rsidR="00000000" w:rsidRPr="00000000">
        <w:rPr>
          <w:rtl w:val="0"/>
        </w:rPr>
        <w:br w:type="textWrapping"/>
      </w:r>
      <w:r w:rsidDel="00000000" w:rsidR="00000000" w:rsidRPr="00000000">
        <w:br w:type="page"/>
      </w:r>
      <w:r w:rsidDel="00000000" w:rsidR="00000000" w:rsidRPr="00000000">
        <w:rPr>
          <w:rtl w:val="0"/>
        </w:rPr>
      </w:r>
    </w:p>
    <w:p w:rsidR="00000000" w:rsidDel="00000000" w:rsidP="00000000" w:rsidRDefault="00000000" w:rsidRPr="00000000" w14:paraId="00000061">
      <w:pPr>
        <w:jc w:val="center"/>
        <w:rPr>
          <w:b w:val="1"/>
        </w:rPr>
      </w:pPr>
      <w:r w:rsidDel="00000000" w:rsidR="00000000" w:rsidRPr="00000000">
        <w:rPr>
          <w:b w:val="1"/>
          <w:rtl w:val="0"/>
        </w:rPr>
        <w:t xml:space="preserve">e-signature architecture</w:t>
      </w:r>
    </w:p>
    <w:p w:rsidR="00000000" w:rsidDel="00000000" w:rsidP="00000000" w:rsidRDefault="00000000" w:rsidRPr="00000000" w14:paraId="00000062">
      <w:pPr>
        <w:jc w:val="center"/>
        <w:rPr/>
      </w:pPr>
      <w:r w:rsidDel="00000000" w:rsidR="00000000" w:rsidRPr="00000000">
        <w:rPr>
          <w:rtl w:val="0"/>
        </w:rPr>
      </w:r>
    </w:p>
    <w:p w:rsidR="00000000" w:rsidDel="00000000" w:rsidP="00000000" w:rsidRDefault="00000000" w:rsidRPr="00000000" w14:paraId="00000063">
      <w:pPr>
        <w:spacing w:line="276" w:lineRule="auto"/>
        <w:jc w:val="center"/>
        <w:rPr>
          <w:color w:val="000000"/>
          <w:sz w:val="22"/>
          <w:szCs w:val="22"/>
        </w:rPr>
      </w:pPr>
      <w:r w:rsidDel="00000000" w:rsidR="00000000" w:rsidRPr="00000000">
        <w:rPr>
          <w:color w:val="000000"/>
          <w:sz w:val="22"/>
          <w:szCs w:val="22"/>
        </w:rPr>
        <w:drawing>
          <wp:inline distB="114300" distT="114300" distL="114300" distR="114300">
            <wp:extent cx="4119563" cy="2689349"/>
            <wp:effectExtent b="0" l="0" r="0" t="0"/>
            <wp:docPr id="12" name="image4.png"/>
            <a:graphic>
              <a:graphicData uri="http://schemas.openxmlformats.org/drawingml/2006/picture">
                <pic:pic>
                  <pic:nvPicPr>
                    <pic:cNvPr id="0" name="image4.png"/>
                    <pic:cNvPicPr preferRelativeResize="0"/>
                  </pic:nvPicPr>
                  <pic:blipFill>
                    <a:blip r:embed="rId13"/>
                    <a:srcRect b="0" l="0" r="0" t="0"/>
                    <a:stretch>
                      <a:fillRect/>
                    </a:stretch>
                  </pic:blipFill>
                  <pic:spPr>
                    <a:xfrm>
                      <a:off x="0" y="0"/>
                      <a:ext cx="4119563" cy="2689349"/>
                    </a:xfrm>
                    <a:prstGeom prst="rect"/>
                    <a:ln/>
                  </pic:spPr>
                </pic:pic>
              </a:graphicData>
            </a:graphic>
          </wp:inline>
        </w:drawing>
      </w: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The e-signature architecture includes:</w:t>
      </w:r>
    </w:p>
    <w:p w:rsidR="00000000" w:rsidDel="00000000" w:rsidP="00000000" w:rsidRDefault="00000000" w:rsidRPr="00000000" w14:paraId="0000006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540" w:right="480" w:hanging="360"/>
        <w:jc w:val="left"/>
        <w:rPr>
          <w:u w:val="none"/>
        </w:rPr>
      </w:pPr>
      <w:r w:rsidDel="00000000" w:rsidR="00000000" w:rsidRPr="00000000">
        <w:rPr>
          <w:rtl w:val="0"/>
        </w:rPr>
        <w:t xml:space="preserve">An Identity Provider - in EDSSI L2 this role will be fulfilled by the MyAcademicID proxy</w:t>
      </w:r>
    </w:p>
    <w:p w:rsidR="00000000" w:rsidDel="00000000" w:rsidP="00000000" w:rsidRDefault="00000000" w:rsidRPr="00000000" w14:paraId="0000006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540" w:right="480" w:hanging="360"/>
        <w:jc w:val="left"/>
        <w:rPr>
          <w:u w:val="none"/>
        </w:rPr>
      </w:pPr>
      <w:r w:rsidDel="00000000" w:rsidR="00000000" w:rsidRPr="00000000">
        <w:rPr>
          <w:rtl w:val="0"/>
        </w:rPr>
        <w:t xml:space="preserve">An application that relies on document signatures - eg the OLA portal</w:t>
      </w:r>
    </w:p>
    <w:p w:rsidR="00000000" w:rsidDel="00000000" w:rsidP="00000000" w:rsidRDefault="00000000" w:rsidRPr="00000000" w14:paraId="0000006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540" w:right="480" w:hanging="360"/>
        <w:jc w:val="left"/>
        <w:rPr>
          <w:u w:val="none"/>
        </w:rPr>
      </w:pPr>
      <w:r w:rsidDel="00000000" w:rsidR="00000000" w:rsidRPr="00000000">
        <w:rPr>
          <w:rtl w:val="0"/>
        </w:rPr>
        <w:t xml:space="preserve">A document signing API that is responsible for creating a DSS signature request</w:t>
      </w:r>
    </w:p>
    <w:p w:rsidR="00000000" w:rsidDel="00000000" w:rsidP="00000000" w:rsidRDefault="00000000" w:rsidRPr="00000000" w14:paraId="0000006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540" w:right="480" w:hanging="360"/>
        <w:jc w:val="left"/>
        <w:rPr>
          <w:u w:val="none"/>
        </w:rPr>
      </w:pPr>
      <w:r w:rsidDel="00000000" w:rsidR="00000000" w:rsidRPr="00000000">
        <w:rPr>
          <w:rtl w:val="0"/>
        </w:rPr>
        <w:t xml:space="preserve">Signing service which creates and applies a signature</w:t>
      </w:r>
    </w:p>
    <w:p w:rsidR="00000000" w:rsidDel="00000000" w:rsidP="00000000" w:rsidRDefault="00000000" w:rsidRPr="00000000" w14:paraId="0000006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540" w:right="480" w:hanging="360"/>
        <w:jc w:val="left"/>
        <w:rPr>
          <w:u w:val="none"/>
        </w:rPr>
      </w:pPr>
      <w:r w:rsidDel="00000000" w:rsidR="00000000" w:rsidRPr="00000000">
        <w:rPr>
          <w:rtl w:val="0"/>
        </w:rPr>
        <w:t xml:space="preserve">Certification Authority (CA) that issues certificates for the signature</w:t>
      </w:r>
      <w:r w:rsidDel="00000000" w:rsidR="00000000" w:rsidRPr="00000000">
        <w:rPr>
          <w:rtl w:val="0"/>
        </w:rPr>
      </w:r>
    </w:p>
    <w:p w:rsidR="00000000" w:rsidDel="00000000" w:rsidP="00000000" w:rsidRDefault="00000000" w:rsidRPr="00000000" w14:paraId="0000006B">
      <w:pPr>
        <w:pStyle w:val="Heading2"/>
        <w:ind w:left="0" w:firstLine="0"/>
        <w:rPr>
          <w:color w:val="7f207f"/>
        </w:rPr>
      </w:pPr>
      <w:bookmarkStart w:colFirst="0" w:colLast="0" w:name="_heading=h.ecv26wwz0ar3" w:id="9"/>
      <w:bookmarkEnd w:id="9"/>
      <w:r w:rsidDel="00000000" w:rsidR="00000000" w:rsidRPr="00000000">
        <w:rPr>
          <w:rtl w:val="0"/>
        </w:rPr>
      </w:r>
    </w:p>
    <w:p w:rsidR="00000000" w:rsidDel="00000000" w:rsidP="00000000" w:rsidRDefault="00000000" w:rsidRPr="00000000" w14:paraId="0000006C">
      <w:pPr>
        <w:pStyle w:val="Heading2"/>
        <w:rPr>
          <w:color w:val="7f207f"/>
        </w:rPr>
      </w:pPr>
      <w:bookmarkStart w:colFirst="0" w:colLast="0" w:name="_heading=h.uo5mpa55s01o" w:id="10"/>
      <w:bookmarkEnd w:id="10"/>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pStyle w:val="Heading2"/>
        <w:rPr/>
      </w:pPr>
      <w:bookmarkStart w:colFirst="0" w:colLast="0" w:name="_heading=h.r8d2suvngvcc" w:id="11"/>
      <w:bookmarkEnd w:id="11"/>
      <w:r w:rsidDel="00000000" w:rsidR="00000000" w:rsidRPr="00000000">
        <w:rPr>
          <w:color w:val="7f207f"/>
          <w:rtl w:val="0"/>
        </w:rPr>
        <w:t xml:space="preserve">2.2 eArchive service</w:t>
      </w:r>
      <w:r w:rsidDel="00000000" w:rsidR="00000000" w:rsidRPr="00000000">
        <w:rPr>
          <w:color w:val="7f207f"/>
          <w:rtl w:val="0"/>
        </w:rPr>
        <w:t xml:space="preserve">  </w:t>
      </w: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Following EDSSI conclusions, the EDSSI L2 project proposed to move forward exploring the tools available for long term preservation of data, documents and records and will be running a pilot test of the software provided by CEF eArchiving itself (RODA). </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For that purpose, the EDSSI L2 project has identified a suitable use case for testing the eArchive software: OLA (Online Learning Agreement). This document seems to be a candidate to test eArchive building block specifications and become an archive record and thus, use it for long time preservation purposes. Also, OLA will be digitally signed using the e-signature solution defined in section 2.1</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We have identified 1 major requirement on a EDSSI eArchive Building Block service:</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numPr>
          <w:ilvl w:val="0"/>
          <w:numId w:val="3"/>
        </w:numPr>
        <w:ind w:left="720" w:hanging="360"/>
      </w:pPr>
      <w:r w:rsidDel="00000000" w:rsidR="00000000" w:rsidRPr="00000000">
        <w:rPr>
          <w:rtl w:val="0"/>
        </w:rPr>
        <w:t xml:space="preserve">Plug and play</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This is the high-level requirement and is detailed below:</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numPr>
          <w:ilvl w:val="0"/>
          <w:numId w:val="7"/>
        </w:numPr>
        <w:ind w:left="720" w:hanging="360"/>
        <w:rPr>
          <w:u w:val="none"/>
        </w:rPr>
      </w:pPr>
      <w:r w:rsidDel="00000000" w:rsidR="00000000" w:rsidRPr="00000000">
        <w:rPr>
          <w:b w:val="1"/>
          <w:rtl w:val="0"/>
        </w:rPr>
        <w:t xml:space="preserve">Plug and play.</w:t>
      </w:r>
      <w:r w:rsidDel="00000000" w:rsidR="00000000" w:rsidRPr="00000000">
        <w:rPr>
          <w:rtl w:val="0"/>
        </w:rPr>
        <w:t xml:space="preserve"> The main requirement on an eArchive service is that it should be easy to install and use. </w:t>
      </w:r>
    </w:p>
    <w:p w:rsidR="00000000" w:rsidDel="00000000" w:rsidP="00000000" w:rsidRDefault="00000000" w:rsidRPr="00000000" w14:paraId="0000007C">
      <w:pPr>
        <w:ind w:left="720" w:firstLine="0"/>
        <w:rPr/>
      </w:pPr>
      <w:r w:rsidDel="00000000" w:rsidR="00000000" w:rsidRPr="00000000">
        <w:rPr>
          <w:rtl w:val="0"/>
        </w:rPr>
      </w:r>
    </w:p>
    <w:p w:rsidR="00000000" w:rsidDel="00000000" w:rsidP="00000000" w:rsidRDefault="00000000" w:rsidRPr="00000000" w14:paraId="0000007D">
      <w:pPr>
        <w:ind w:left="720" w:firstLine="0"/>
        <w:rPr/>
      </w:pPr>
      <w:r w:rsidDel="00000000" w:rsidR="00000000" w:rsidRPr="00000000">
        <w:rPr>
          <w:rtl w:val="0"/>
        </w:rPr>
        <w:t xml:space="preserve">For test purposes we will be using RODA</w:t>
      </w:r>
      <w:r w:rsidDel="00000000" w:rsidR="00000000" w:rsidRPr="00000000">
        <w:rPr>
          <w:vertAlign w:val="superscript"/>
        </w:rPr>
        <w:footnoteReference w:customMarkFollows="0" w:id="0"/>
      </w:r>
      <w:r w:rsidDel="00000000" w:rsidR="00000000" w:rsidRPr="00000000">
        <w:rPr>
          <w:rtl w:val="0"/>
        </w:rPr>
        <w:t xml:space="preserve">, an open-source digital repository designed for preservation and the tool the members of the eARK consortium</w:t>
      </w:r>
      <w:r w:rsidDel="00000000" w:rsidR="00000000" w:rsidRPr="00000000">
        <w:rPr>
          <w:vertAlign w:val="superscript"/>
        </w:rPr>
        <w:footnoteReference w:customMarkFollows="0" w:id="1"/>
      </w:r>
      <w:r w:rsidDel="00000000" w:rsidR="00000000" w:rsidRPr="00000000">
        <w:rPr>
          <w:rtl w:val="0"/>
        </w:rPr>
        <w:t xml:space="preserve"> pointed us in order to check eArchive building block specifications applied on a piece of software. </w:t>
      </w:r>
    </w:p>
    <w:p w:rsidR="00000000" w:rsidDel="00000000" w:rsidP="00000000" w:rsidRDefault="00000000" w:rsidRPr="00000000" w14:paraId="0000007E">
      <w:pPr>
        <w:ind w:left="720" w:firstLine="0"/>
        <w:rPr/>
      </w:pPr>
      <w:r w:rsidDel="00000000" w:rsidR="00000000" w:rsidRPr="00000000">
        <w:rPr>
          <w:rtl w:val="0"/>
        </w:rPr>
      </w:r>
    </w:p>
    <w:p w:rsidR="00000000" w:rsidDel="00000000" w:rsidP="00000000" w:rsidRDefault="00000000" w:rsidRPr="00000000" w14:paraId="0000007F">
      <w:pPr>
        <w:ind w:left="720" w:firstLine="0"/>
        <w:rPr/>
      </w:pPr>
      <w:r w:rsidDel="00000000" w:rsidR="00000000" w:rsidRPr="00000000">
        <w:rPr>
          <w:rtl w:val="0"/>
        </w:rPr>
        <w:t xml:space="preserve">In order to check its “plug and play” functionalities we will be installing and running RODA software at the University of Barcelona in a Microsoft Azure Cloud in order to deploy an image in the Azure Container and carry out the tests. </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RODA is based on ISO 14721:2012 OAIS model (Open Archival Information System) and, among other specifications and functionalities, includes the functionalities for generating SIP (submissions information packages) AIP (Archival information packages) and DIP (Dissemination information packages). According to the information gathered so far, RODA includes those functions and our aim is to test them in a real environment. </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jc w:val="center"/>
        <w:rPr/>
      </w:pPr>
      <w:r w:rsidDel="00000000" w:rsidR="00000000" w:rsidRPr="00000000">
        <w:rPr/>
        <w:drawing>
          <wp:inline distB="114300" distT="114300" distL="114300" distR="114300">
            <wp:extent cx="4181475" cy="1908025"/>
            <wp:effectExtent b="0" l="0" r="0" t="0"/>
            <wp:docPr id="10" name="image2.png"/>
            <a:graphic>
              <a:graphicData uri="http://schemas.openxmlformats.org/drawingml/2006/picture">
                <pic:pic>
                  <pic:nvPicPr>
                    <pic:cNvPr id="0" name="image2.png"/>
                    <pic:cNvPicPr preferRelativeResize="0"/>
                  </pic:nvPicPr>
                  <pic:blipFill>
                    <a:blip r:embed="rId14"/>
                    <a:srcRect b="0" l="0" r="0" t="0"/>
                    <a:stretch>
                      <a:fillRect/>
                    </a:stretch>
                  </pic:blipFill>
                  <pic:spPr>
                    <a:xfrm>
                      <a:off x="0" y="0"/>
                      <a:ext cx="4181475" cy="1908025"/>
                    </a:xfrm>
                    <a:prstGeom prst="rect"/>
                    <a:ln/>
                  </pic:spPr>
                </pic:pic>
              </a:graphicData>
            </a:graphic>
          </wp:inline>
        </w:drawing>
      </w:r>
      <w:r w:rsidDel="00000000" w:rsidR="00000000" w:rsidRPr="00000000">
        <w:rPr>
          <w:rtl w:val="0"/>
        </w:rPr>
      </w:r>
    </w:p>
    <w:p w:rsidR="00000000" w:rsidDel="00000000" w:rsidP="00000000" w:rsidRDefault="00000000" w:rsidRPr="00000000" w14:paraId="00000084">
      <w:pPr>
        <w:jc w:val="center"/>
        <w:rPr/>
      </w:pPr>
      <w:r w:rsidDel="00000000" w:rsidR="00000000" w:rsidRPr="00000000">
        <w:rPr>
          <w:rtl w:val="0"/>
        </w:rPr>
        <w:t xml:space="preserve">Figure 01. Roda general architecture</w:t>
      </w:r>
      <w:r w:rsidDel="00000000" w:rsidR="00000000" w:rsidRPr="00000000">
        <w:rPr>
          <w:vertAlign w:val="superscript"/>
        </w:rPr>
        <w:footnoteReference w:customMarkFollows="0" w:id="2"/>
      </w: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The outcome of EDSSI L2 activity 2.3 consists of a final report containing two different sections of information, one technical and another one functional.</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The technical report section will inform about the actual requirements to run an instance of RODA in house. The functional report section will inform about its usability for end users and conclusions will follow considering</w:t>
      </w:r>
      <w:r w:rsidDel="00000000" w:rsidR="00000000" w:rsidRPr="00000000">
        <w:rPr>
          <w:rFonts w:ascii="Calibri" w:cs="Calibri" w:eastAsia="Calibri" w:hAnsi="Calibri"/>
          <w:rtl w:val="0"/>
        </w:rPr>
        <w:t xml:space="preserve"> </w:t>
      </w:r>
      <w:r w:rsidDel="00000000" w:rsidR="00000000" w:rsidRPr="00000000">
        <w:rPr>
          <w:rtl w:val="0"/>
        </w:rPr>
        <w:t xml:space="preserve">further suggestions in order to implement the software provided by CEF eArchiving on Erasmus Without Papers project. </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pStyle w:val="Heading1"/>
        <w:numPr>
          <w:ilvl w:val="0"/>
          <w:numId w:val="4"/>
        </w:numPr>
        <w:ind w:left="360"/>
        <w:rPr>
          <w:b w:val="1"/>
          <w:color w:val="1cadb8"/>
          <w:sz w:val="32"/>
          <w:szCs w:val="32"/>
        </w:rPr>
      </w:pPr>
      <w:bookmarkStart w:colFirst="0" w:colLast="0" w:name="_heading=h.kufcgsguyxiv" w:id="12"/>
      <w:bookmarkEnd w:id="12"/>
      <w:r w:rsidDel="00000000" w:rsidR="00000000" w:rsidRPr="00000000">
        <w:rPr>
          <w:color w:val="1cadb8"/>
          <w:rtl w:val="0"/>
        </w:rPr>
        <w:t xml:space="preserve">Next Steps </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Work has progressed on the development of pilot services built on the eSignature and eArchive building blocks. The eSignature service, under the lead of the Swedish </w:t>
      </w:r>
      <w:r w:rsidDel="00000000" w:rsidR="00000000" w:rsidRPr="00000000">
        <w:rPr>
          <w:rtl w:val="0"/>
        </w:rPr>
        <w:t xml:space="preserve">Research</w:t>
      </w:r>
      <w:r w:rsidDel="00000000" w:rsidR="00000000" w:rsidRPr="00000000">
        <w:rPr>
          <w:rtl w:val="0"/>
        </w:rPr>
        <w:t xml:space="preserve"> Council following the test with the OLA service, will be upgraded to be operated at European level. </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sectPr>
          <w:headerReference r:id="rId15" w:type="default"/>
          <w:headerReference r:id="rId16" w:type="first"/>
          <w:footerReference r:id="rId17" w:type="default"/>
          <w:footerReference r:id="rId18" w:type="first"/>
          <w:pgSz w:h="16840" w:w="11900" w:orient="portrait"/>
          <w:pgMar w:bottom="1440" w:top="1440" w:left="1440" w:right="1440" w:header="708" w:footer="708"/>
          <w:pgNumType w:start="0"/>
          <w:titlePg w:val="1"/>
        </w:sectPr>
      </w:pPr>
      <w:r w:rsidDel="00000000" w:rsidR="00000000" w:rsidRPr="00000000">
        <w:rPr>
          <w:rtl w:val="0"/>
        </w:rPr>
        <w:t xml:space="preserve">The eArchive service is being developed by the University of </w:t>
      </w:r>
      <w:r w:rsidDel="00000000" w:rsidR="00000000" w:rsidRPr="00000000">
        <w:rPr>
          <w:rtl w:val="0"/>
        </w:rPr>
        <w:t xml:space="preserve">Barcelona, as a proof of concept, which will be tested  with solutions such as the OLA.</w:t>
      </w:r>
    </w:p>
    <w:p w:rsidR="00000000" w:rsidDel="00000000" w:rsidP="00000000" w:rsidRDefault="00000000" w:rsidRPr="00000000" w14:paraId="00000092">
      <w:pPr>
        <w:widowControl w:val="0"/>
        <w:pBdr>
          <w:top w:space="0" w:sz="0" w:val="nil"/>
          <w:left w:space="0" w:sz="0" w:val="nil"/>
          <w:bottom w:space="0" w:sz="0" w:val="nil"/>
          <w:right w:space="0" w:sz="0" w:val="nil"/>
          <w:between w:space="0" w:sz="0" w:val="nil"/>
        </w:pBdr>
        <w:spacing w:line="276" w:lineRule="auto"/>
        <w:jc w:val="left"/>
        <w:rPr/>
      </w:pPr>
      <w:r w:rsidDel="00000000" w:rsidR="00000000" w:rsidRPr="00000000">
        <w:rPr>
          <w:rtl w:val="0"/>
        </w:rPr>
      </w:r>
    </w:p>
    <w:tbl>
      <w:tblPr>
        <w:tblStyle w:val="Table2"/>
        <w:tblW w:w="9010.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010"/>
        <w:tblGridChange w:id="0">
          <w:tblGrid>
            <w:gridCol w:w="9010"/>
          </w:tblGrid>
        </w:tblGridChange>
      </w:tblGrid>
      <w:tr>
        <w:trPr>
          <w:cantSplit w:val="0"/>
          <w:trHeight w:val="8222" w:hRule="atLeast"/>
          <w:tblHeader w:val="0"/>
        </w:trPr>
        <w:tc>
          <w:tcPr>
            <w:vAlign w:val="bottom"/>
          </w:tcPr>
          <w:p w:rsidR="00000000" w:rsidDel="00000000" w:rsidP="00000000" w:rsidRDefault="00000000" w:rsidRPr="00000000" w14:paraId="00000093">
            <w:pPr>
              <w:keepNext w:val="1"/>
              <w:keepLines w:val="1"/>
              <w:jc w:val="center"/>
              <w:rPr/>
            </w:pPr>
            <w:r w:rsidDel="00000000" w:rsidR="00000000" w:rsidRPr="00000000">
              <w:rPr/>
              <w:drawing>
                <wp:inline distB="0" distT="0" distL="0" distR="0">
                  <wp:extent cx="2627983" cy="951801"/>
                  <wp:effectExtent b="0" l="0" r="0" t="0"/>
                  <wp:docPr descr="Logo&#10;&#10;Description automatically generated" id="14" name="image3.png"/>
                  <a:graphic>
                    <a:graphicData uri="http://schemas.openxmlformats.org/drawingml/2006/picture">
                      <pic:pic>
                        <pic:nvPicPr>
                          <pic:cNvPr descr="Logo&#10;&#10;Description automatically generated" id="0" name="image3.png"/>
                          <pic:cNvPicPr preferRelativeResize="0"/>
                        </pic:nvPicPr>
                        <pic:blipFill>
                          <a:blip r:embed="rId19"/>
                          <a:srcRect b="0" l="0" r="0" t="0"/>
                          <a:stretch>
                            <a:fillRect/>
                          </a:stretch>
                        </pic:blipFill>
                        <pic:spPr>
                          <a:xfrm>
                            <a:off x="0" y="0"/>
                            <a:ext cx="2627983" cy="951801"/>
                          </a:xfrm>
                          <a:prstGeom prst="rect"/>
                          <a:ln/>
                        </pic:spPr>
                      </pic:pic>
                    </a:graphicData>
                  </a:graphic>
                </wp:inline>
              </w:drawing>
            </w:r>
            <w:r w:rsidDel="00000000" w:rsidR="00000000" w:rsidRPr="00000000">
              <w:rPr>
                <w:rtl w:val="0"/>
              </w:rPr>
            </w:r>
          </w:p>
          <w:p w:rsidR="00000000" w:rsidDel="00000000" w:rsidP="00000000" w:rsidRDefault="00000000" w:rsidRPr="00000000" w14:paraId="00000094">
            <w:pPr>
              <w:keepNext w:val="1"/>
              <w:keepLines w:val="1"/>
              <w:jc w:val="center"/>
              <w:rPr/>
            </w:pPr>
            <w:r w:rsidDel="00000000" w:rsidR="00000000" w:rsidRPr="00000000">
              <w:rPr>
                <w:rtl w:val="0"/>
              </w:rPr>
            </w:r>
          </w:p>
          <w:p w:rsidR="00000000" w:rsidDel="00000000" w:rsidP="00000000" w:rsidRDefault="00000000" w:rsidRPr="00000000" w14:paraId="00000095">
            <w:pPr>
              <w:keepNext w:val="1"/>
              <w:keepLines w:val="1"/>
              <w:jc w:val="center"/>
              <w:rPr/>
            </w:pPr>
            <w:r w:rsidDel="00000000" w:rsidR="00000000" w:rsidRPr="00000000">
              <w:rPr>
                <w:rtl w:val="0"/>
              </w:rPr>
            </w:r>
          </w:p>
          <w:p w:rsidR="00000000" w:rsidDel="00000000" w:rsidP="00000000" w:rsidRDefault="00000000" w:rsidRPr="00000000" w14:paraId="00000096">
            <w:pPr>
              <w:keepNext w:val="1"/>
              <w:keepLines w:val="1"/>
              <w:jc w:val="center"/>
              <w:rPr/>
            </w:pPr>
            <w:r w:rsidDel="00000000" w:rsidR="00000000" w:rsidRPr="00000000">
              <w:rPr>
                <w:rtl w:val="0"/>
              </w:rPr>
            </w:r>
          </w:p>
          <w:p w:rsidR="00000000" w:rsidDel="00000000" w:rsidP="00000000" w:rsidRDefault="00000000" w:rsidRPr="00000000" w14:paraId="00000097">
            <w:pPr>
              <w:keepNext w:val="1"/>
              <w:keepLines w:val="1"/>
              <w:pBdr>
                <w:top w:space="0" w:sz="0" w:val="nil"/>
                <w:left w:space="0" w:sz="0" w:val="nil"/>
                <w:bottom w:space="0" w:sz="0" w:val="nil"/>
                <w:right w:space="0" w:sz="0" w:val="nil"/>
                <w:between w:space="0" w:sz="0" w:val="nil"/>
              </w:pBdr>
              <w:jc w:val="center"/>
              <w:rPr>
                <w:b w:val="1"/>
                <w:color w:val="1badbb"/>
                <w:sz w:val="28"/>
                <w:szCs w:val="28"/>
                <w:u w:val="single"/>
              </w:rPr>
            </w:pPr>
            <w:hyperlink r:id="rId20">
              <w:r w:rsidDel="00000000" w:rsidR="00000000" w:rsidRPr="00000000">
                <w:rPr>
                  <w:b w:val="1"/>
                  <w:color w:val="1badbb"/>
                  <w:sz w:val="28"/>
                  <w:szCs w:val="28"/>
                  <w:u w:val="single"/>
                  <w:rtl w:val="0"/>
                </w:rPr>
                <w:t xml:space="preserve">www.edssi.eu</w:t>
              </w:r>
            </w:hyperlink>
            <w:r w:rsidDel="00000000" w:rsidR="00000000" w:rsidRPr="00000000">
              <w:rPr>
                <w:rtl w:val="0"/>
              </w:rPr>
            </w:r>
          </w:p>
          <w:p w:rsidR="00000000" w:rsidDel="00000000" w:rsidP="00000000" w:rsidRDefault="00000000" w:rsidRPr="00000000" w14:paraId="00000098">
            <w:pPr>
              <w:keepNext w:val="1"/>
              <w:keepLines w:val="1"/>
              <w:jc w:val="center"/>
              <w:rPr/>
            </w:pPr>
            <w:r w:rsidDel="00000000" w:rsidR="00000000" w:rsidRPr="00000000">
              <w:rPr>
                <w:rtl w:val="0"/>
              </w:rPr>
            </w:r>
          </w:p>
        </w:tc>
      </w:tr>
    </w:tbl>
    <w:p w:rsidR="00000000" w:rsidDel="00000000" w:rsidP="00000000" w:rsidRDefault="00000000" w:rsidRPr="00000000" w14:paraId="00000099">
      <w:pPr>
        <w:keepNext w:val="1"/>
        <w:keepLines w:val="1"/>
        <w:pBdr>
          <w:top w:space="0" w:sz="0" w:val="nil"/>
          <w:left w:space="0" w:sz="0" w:val="nil"/>
          <w:bottom w:space="0" w:sz="0" w:val="nil"/>
          <w:right w:space="0" w:sz="0" w:val="nil"/>
          <w:between w:space="0" w:sz="0" w:val="nil"/>
        </w:pBdr>
        <w:rPr>
          <w:b w:val="1"/>
          <w:color w:val="1badbb"/>
          <w:sz w:val="28"/>
          <w:szCs w:val="28"/>
          <w:u w:val="single"/>
        </w:rPr>
      </w:pPr>
      <w:r w:rsidDel="00000000" w:rsidR="00000000" w:rsidRPr="00000000">
        <w:rPr>
          <w:rtl w:val="0"/>
        </w:rPr>
      </w:r>
    </w:p>
    <w:sectPr>
      <w:footerReference r:id="rId21" w:type="first"/>
      <w:type w:val="nextPage"/>
      <w:pgSz w:h="16840" w:w="11900" w:orient="portrait"/>
      <w:pgMar w:bottom="1440" w:top="1440" w:left="1440" w:right="1440" w:header="708" w:footer="708"/>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D">
    <w:pPr>
      <w:widowControl w:val="0"/>
      <w:pBdr>
        <w:top w:space="0" w:sz="0" w:val="nil"/>
        <w:left w:space="0" w:sz="0" w:val="nil"/>
        <w:bottom w:space="0" w:sz="0" w:val="nil"/>
        <w:right w:space="0" w:sz="0" w:val="nil"/>
        <w:between w:space="0" w:sz="0" w:val="nil"/>
      </w:pBdr>
      <w:spacing w:line="276" w:lineRule="auto"/>
      <w:jc w:val="left"/>
      <w:rPr/>
    </w:pPr>
    <w:r w:rsidDel="00000000" w:rsidR="00000000" w:rsidRPr="00000000">
      <w:rPr>
        <w:rtl w:val="0"/>
      </w:rPr>
    </w:r>
  </w:p>
  <w:tbl>
    <w:tblPr>
      <w:tblStyle w:val="Table3"/>
      <w:tblW w:w="9020.0" w:type="dxa"/>
      <w:jc w:val="left"/>
      <w:tblInd w:w="-108.0" w:type="dxa"/>
      <w:tblLayout w:type="fixed"/>
      <w:tblLook w:val="0400"/>
    </w:tblPr>
    <w:tblGrid>
      <w:gridCol w:w="5436"/>
      <w:gridCol w:w="3584"/>
      <w:tblGridChange w:id="0">
        <w:tblGrid>
          <w:gridCol w:w="5436"/>
          <w:gridCol w:w="3584"/>
        </w:tblGrid>
      </w:tblGridChange>
    </w:tblGrid>
    <w:tr>
      <w:trPr>
        <w:cantSplit w:val="0"/>
        <w:trHeight w:val="851" w:hRule="atLeast"/>
        <w:tblHeader w:val="0"/>
      </w:trPr>
      <w:tc>
        <w:tcPr>
          <w:vAlign w:val="center"/>
        </w:tcPr>
        <w:p w:rsidR="00000000" w:rsidDel="00000000" w:rsidP="00000000" w:rsidRDefault="00000000" w:rsidRPr="00000000" w14:paraId="0000009E">
          <w:pPr>
            <w:rPr>
              <w:sz w:val="13"/>
              <w:szCs w:val="13"/>
            </w:rPr>
          </w:pPr>
          <w:r w:rsidDel="00000000" w:rsidR="00000000" w:rsidRPr="00000000">
            <w:rPr>
              <w:sz w:val="13"/>
              <w:szCs w:val="13"/>
              <w:rtl w:val="0"/>
            </w:rPr>
            <w:t xml:space="preserve">The contents of this publication are the sole responsibility of the EDSSI L2 project consortium and do not necessarily reflect the opinion of the European Union.  </w:t>
          </w:r>
        </w:p>
        <w:p w:rsidR="00000000" w:rsidDel="00000000" w:rsidP="00000000" w:rsidRDefault="00000000" w:rsidRPr="00000000" w14:paraId="0000009F">
          <w:pPr>
            <w:rPr>
              <w:sz w:val="4"/>
              <w:szCs w:val="4"/>
            </w:rPr>
          </w:pPr>
          <w:r w:rsidDel="00000000" w:rsidR="00000000" w:rsidRPr="00000000">
            <w:rPr>
              <w:rtl w:val="0"/>
            </w:rPr>
          </w:r>
        </w:p>
        <w:p w:rsidR="00000000" w:rsidDel="00000000" w:rsidP="00000000" w:rsidRDefault="00000000" w:rsidRPr="00000000" w14:paraId="000000A0">
          <w:pPr>
            <w:rPr>
              <w:sz w:val="13"/>
              <w:szCs w:val="13"/>
            </w:rPr>
          </w:pPr>
          <w:r w:rsidDel="00000000" w:rsidR="00000000" w:rsidRPr="00000000">
            <w:rPr>
              <w:sz w:val="13"/>
              <w:szCs w:val="13"/>
              <w:rtl w:val="0"/>
            </w:rPr>
            <w:t xml:space="preserve">CEF-TC-2020-3</w:t>
          </w:r>
        </w:p>
      </w:tc>
      <w:tc>
        <w:tcPr>
          <w:vAlign w:val="center"/>
        </w:tcPr>
        <w:p w:rsidR="00000000" w:rsidDel="00000000" w:rsidP="00000000" w:rsidRDefault="00000000" w:rsidRPr="00000000" w14:paraId="000000A1">
          <w:pPr>
            <w:jc w:val="left"/>
            <w:rPr>
              <w:sz w:val="16"/>
              <w:szCs w:val="16"/>
            </w:rPr>
          </w:pPr>
          <w:r w:rsidDel="00000000" w:rsidR="00000000" w:rsidRPr="00000000">
            <w:rPr>
              <w:sz w:val="16"/>
              <w:szCs w:val="16"/>
            </w:rPr>
            <w:drawing>
              <wp:inline distB="0" distT="0" distL="0" distR="0">
                <wp:extent cx="2138680" cy="447040"/>
                <wp:effectExtent b="0" l="0" r="0" t="0"/>
                <wp:docPr descr="Graphical user interface, text&#10;&#10;Description automatically generated" id="15" name="image6.png"/>
                <a:graphic>
                  <a:graphicData uri="http://schemas.openxmlformats.org/drawingml/2006/picture">
                    <pic:pic>
                      <pic:nvPicPr>
                        <pic:cNvPr descr="Graphical user interface, text&#10;&#10;Description automatically generated" id="0" name="image6.png"/>
                        <pic:cNvPicPr preferRelativeResize="0"/>
                      </pic:nvPicPr>
                      <pic:blipFill>
                        <a:blip r:embed="rId1"/>
                        <a:srcRect b="0" l="0" r="0" t="0"/>
                        <a:stretch>
                          <a:fillRect/>
                        </a:stretch>
                      </pic:blipFill>
                      <pic:spPr>
                        <a:xfrm>
                          <a:off x="0" y="0"/>
                          <a:ext cx="2138680" cy="447040"/>
                        </a:xfrm>
                        <a:prstGeom prst="rect"/>
                        <a:ln/>
                      </pic:spPr>
                    </pic:pic>
                  </a:graphicData>
                </a:graphic>
              </wp:inline>
            </w:drawing>
          </w:r>
          <w:r w:rsidDel="00000000" w:rsidR="00000000" w:rsidRPr="00000000">
            <w:rPr>
              <w:rtl w:val="0"/>
            </w:rPr>
          </w:r>
        </w:p>
        <w:p w:rsidR="00000000" w:rsidDel="00000000" w:rsidP="00000000" w:rsidRDefault="00000000" w:rsidRPr="00000000" w14:paraId="000000A2">
          <w:pPr>
            <w:jc w:val="left"/>
            <w:rPr>
              <w:sz w:val="10"/>
              <w:szCs w:val="10"/>
            </w:rPr>
          </w:pPr>
          <w:r w:rsidDel="00000000" w:rsidR="00000000" w:rsidRPr="00000000">
            <w:rPr>
              <w:rtl w:val="0"/>
            </w:rPr>
          </w:r>
        </w:p>
      </w:tc>
    </w:tr>
  </w:tbl>
  <w:p w:rsidR="00000000" w:rsidDel="00000000" w:rsidP="00000000" w:rsidRDefault="00000000" w:rsidRPr="00000000" w14:paraId="000000A3">
    <w:pPr>
      <w:tabs>
        <w:tab w:val="left" w:pos="5078"/>
      </w:tabs>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pBdr>
        <w:top w:space="0" w:sz="0" w:val="nil"/>
        <w:left w:space="0" w:sz="0" w:val="nil"/>
        <w:bottom w:space="0" w:sz="0" w:val="nil"/>
        <w:right w:space="0" w:sz="0" w:val="nil"/>
        <w:between w:space="0" w:sz="0" w:val="nil"/>
      </w:pBdr>
      <w:tabs>
        <w:tab w:val="center" w:pos="4513"/>
        <w:tab w:val="right" w:pos="9026"/>
      </w:tabs>
      <w:jc w:val="center"/>
      <w:rPr>
        <w:sz w:val="20"/>
        <w:szCs w:val="20"/>
      </w:rPr>
    </w:pPr>
    <w:r w:rsidDel="00000000" w:rsidR="00000000" w:rsidRPr="00000000">
      <w:rPr>
        <w:sz w:val="20"/>
        <w:szCs w:val="20"/>
        <w:rtl w:val="0"/>
      </w:rPr>
      <w:t xml:space="preserve">EDSSI L2 project I Updated Requirement analysis M2.1</w:t>
    </w:r>
  </w:p>
  <w:p w:rsidR="00000000" w:rsidDel="00000000" w:rsidP="00000000" w:rsidRDefault="00000000" w:rsidRPr="00000000" w14:paraId="000000A5">
    <w:pPr>
      <w:widowControl w:val="0"/>
      <w:pBdr>
        <w:top w:space="0" w:sz="0" w:val="nil"/>
        <w:left w:space="0" w:sz="0" w:val="nil"/>
        <w:bottom w:space="0" w:sz="0" w:val="nil"/>
        <w:right w:space="0" w:sz="0" w:val="nil"/>
        <w:between w:space="0" w:sz="0" w:val="nil"/>
      </w:pBdr>
      <w:spacing w:line="276" w:lineRule="auto"/>
      <w:jc w:val="left"/>
      <w:rPr>
        <w:sz w:val="20"/>
        <w:szCs w:val="2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6">
    <w:pPr>
      <w:tabs>
        <w:tab w:val="left" w:pos="5078"/>
      </w:tabs>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A7">
      <w:pPr>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RODA documentation: https://github.com/keeps/roda</w:t>
      </w:r>
    </w:p>
  </w:footnote>
  <w:footnote w:id="1">
    <w:p w:rsidR="00000000" w:rsidDel="00000000" w:rsidP="00000000" w:rsidRDefault="00000000" w:rsidRPr="00000000" w14:paraId="000000A8">
      <w:pPr>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eARK consortium:  https://e-ark4all.eu/</w:t>
      </w:r>
    </w:p>
  </w:footnote>
  <w:footnote w:id="2">
    <w:p w:rsidR="00000000" w:rsidDel="00000000" w:rsidP="00000000" w:rsidRDefault="00000000" w:rsidRPr="00000000" w14:paraId="000000A9">
      <w:pPr>
        <w:jc w:val="left"/>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RODA and CRiB a service-oriented digital repository:   https://www.researchgate.net/publication/228695239_RODA_and_CRiB_a_service-oriented_digital_repository</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A">
    <w:pPr>
      <w:pBdr>
        <w:top w:space="0" w:sz="0" w:val="nil"/>
        <w:left w:space="0" w:sz="0" w:val="nil"/>
        <w:bottom w:space="0" w:sz="0" w:val="nil"/>
        <w:right w:space="0" w:sz="0" w:val="nil"/>
        <w:between w:space="0" w:sz="0" w:val="nil"/>
      </w:pBdr>
      <w:tabs>
        <w:tab w:val="center" w:pos="4513"/>
        <w:tab w:val="right" w:pos="9026"/>
      </w:tabs>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B">
    <w:pPr>
      <w:jc w:val="right"/>
      <w:rPr/>
    </w:pPr>
    <w:r w:rsidDel="00000000" w:rsidR="00000000" w:rsidRPr="00000000">
      <w:rPr/>
      <w:drawing>
        <wp:inline distB="0" distT="0" distL="0" distR="0">
          <wp:extent cx="1201339" cy="435100"/>
          <wp:effectExtent b="0" l="0" r="0" t="0"/>
          <wp:docPr descr="Logo&#10;&#10;Description automatically generated" id="13" name="image3.png"/>
          <a:graphic>
            <a:graphicData uri="http://schemas.openxmlformats.org/drawingml/2006/picture">
              <pic:pic>
                <pic:nvPicPr>
                  <pic:cNvPr descr="Logo&#10;&#10;Description automatically generated" id="0" name="image3.png"/>
                  <pic:cNvPicPr preferRelativeResize="0"/>
                </pic:nvPicPr>
                <pic:blipFill>
                  <a:blip r:embed="rId1"/>
                  <a:srcRect b="0" l="0" r="0" t="0"/>
                  <a:stretch>
                    <a:fillRect/>
                  </a:stretch>
                </pic:blipFill>
                <pic:spPr>
                  <a:xfrm>
                    <a:off x="0" y="0"/>
                    <a:ext cx="1201339" cy="435100"/>
                  </a:xfrm>
                  <a:prstGeom prst="rect"/>
                  <a:ln/>
                </pic:spPr>
              </pic:pic>
            </a:graphicData>
          </a:graphic>
        </wp:inline>
      </w:drawing>
    </w: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lowerLetter"/>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color w:val="1e1a34"/>
        <w:sz w:val="21"/>
        <w:szCs w:val="21"/>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709" w:hanging="709"/>
      <w:jc w:val="left"/>
    </w:pPr>
    <w:rPr>
      <w:b w:val="1"/>
      <w:color w:val="29adbc"/>
      <w:sz w:val="32"/>
      <w:szCs w:val="32"/>
    </w:rPr>
  </w:style>
  <w:style w:type="paragraph" w:styleId="Heading2">
    <w:name w:val="heading 2"/>
    <w:basedOn w:val="Normal"/>
    <w:next w:val="Normal"/>
    <w:pPr>
      <w:ind w:left="709" w:hanging="709"/>
    </w:pPr>
    <w:rPr>
      <w:color w:val="29adbc"/>
      <w:sz w:val="28"/>
      <w:szCs w:val="28"/>
    </w:rPr>
  </w:style>
  <w:style w:type="paragraph" w:styleId="Heading3">
    <w:name w:val="heading 3"/>
    <w:basedOn w:val="Normal"/>
    <w:next w:val="Normal"/>
    <w:pPr>
      <w:ind w:left="1134" w:hanging="851"/>
    </w:pPr>
    <w:rPr>
      <w:color w:val="29adbc"/>
      <w:sz w:val="24"/>
      <w:szCs w:val="24"/>
    </w:rPr>
  </w:style>
  <w:style w:type="paragraph" w:styleId="Heading4">
    <w:name w:val="heading 4"/>
    <w:basedOn w:val="Normal"/>
    <w:next w:val="Normal"/>
    <w:pPr>
      <w:ind w:left="0"/>
    </w:pPr>
    <w:rPr>
      <w:b w:val="1"/>
      <w:sz w:val="22"/>
      <w:szCs w:val="22"/>
    </w:rPr>
  </w:style>
  <w:style w:type="paragraph" w:styleId="Heading5">
    <w:name w:val="heading 5"/>
    <w:basedOn w:val="Normal"/>
    <w:next w:val="Normal"/>
    <w:pPr>
      <w:keepNext w:val="1"/>
      <w:keepLines w:val="1"/>
      <w:spacing w:before="40" w:lineRule="auto"/>
      <w:ind w:left="3600" w:hanging="720"/>
    </w:pPr>
    <w:rPr>
      <w:color w:val="161326"/>
    </w:rPr>
  </w:style>
  <w:style w:type="paragraph" w:styleId="Heading6">
    <w:name w:val="heading 6"/>
    <w:basedOn w:val="Normal"/>
    <w:next w:val="Normal"/>
    <w:pPr>
      <w:keepNext w:val="1"/>
      <w:keepLines w:val="1"/>
      <w:spacing w:before="40" w:lineRule="auto"/>
      <w:ind w:left="4320" w:hanging="720"/>
    </w:pPr>
    <w:rPr>
      <w:rFonts w:ascii="Arial" w:cs="Arial" w:eastAsia="Arial" w:hAnsi="Arial"/>
      <w:color w:val="0e0c19"/>
    </w:r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jc w:val="left"/>
    </w:pPr>
    <w:rPr>
      <w:b w:val="1"/>
      <w:color w:val="00adbc"/>
      <w:sz w:val="40"/>
      <w:szCs w:val="40"/>
    </w:rPr>
  </w:style>
  <w:style w:type="paragraph" w:styleId="Normal" w:default="1">
    <w:name w:val="Normal"/>
    <w:qFormat w:val="1"/>
    <w:rsid w:val="00873BD6"/>
  </w:style>
  <w:style w:type="paragraph" w:styleId="Heading1">
    <w:name w:val="heading 1"/>
    <w:basedOn w:val="ListParagraph"/>
    <w:next w:val="Normal"/>
    <w:link w:val="Heading1Char"/>
    <w:uiPriority w:val="9"/>
    <w:qFormat w:val="1"/>
    <w:rsid w:val="00273E73"/>
    <w:pPr>
      <w:numPr>
        <w:numId w:val="3"/>
      </w:numPr>
      <w:ind w:left="709" w:hanging="709"/>
      <w:jc w:val="left"/>
      <w:outlineLvl w:val="0"/>
    </w:pPr>
    <w:rPr>
      <w:b w:val="1"/>
      <w:bCs w:val="1"/>
      <w:color w:val="29adbc"/>
      <w:sz w:val="32"/>
      <w:szCs w:val="32"/>
    </w:rPr>
  </w:style>
  <w:style w:type="paragraph" w:styleId="Heading2">
    <w:name w:val="heading 2"/>
    <w:basedOn w:val="ListParagraph"/>
    <w:next w:val="Normal"/>
    <w:link w:val="Heading2Char"/>
    <w:uiPriority w:val="9"/>
    <w:unhideWhenUsed w:val="1"/>
    <w:qFormat w:val="1"/>
    <w:rsid w:val="00273E73"/>
    <w:pPr>
      <w:numPr>
        <w:ilvl w:val="1"/>
        <w:numId w:val="3"/>
      </w:numPr>
      <w:ind w:left="709" w:hanging="709"/>
      <w:outlineLvl w:val="1"/>
    </w:pPr>
    <w:rPr>
      <w:bCs w:val="1"/>
      <w:color w:val="29adbc"/>
      <w:sz w:val="28"/>
      <w:szCs w:val="28"/>
    </w:rPr>
  </w:style>
  <w:style w:type="paragraph" w:styleId="Heading3">
    <w:name w:val="heading 3"/>
    <w:basedOn w:val="ListParagraph"/>
    <w:next w:val="Normal"/>
    <w:link w:val="Heading3Char"/>
    <w:uiPriority w:val="9"/>
    <w:unhideWhenUsed w:val="1"/>
    <w:qFormat w:val="1"/>
    <w:rsid w:val="00273E73"/>
    <w:pPr>
      <w:numPr>
        <w:ilvl w:val="2"/>
        <w:numId w:val="3"/>
      </w:numPr>
      <w:ind w:left="1134" w:hanging="851"/>
      <w:outlineLvl w:val="2"/>
    </w:pPr>
    <w:rPr>
      <w:bCs w:val="1"/>
      <w:color w:val="29adbc"/>
      <w:sz w:val="24"/>
      <w:szCs w:val="24"/>
    </w:rPr>
  </w:style>
  <w:style w:type="paragraph" w:styleId="Heading4">
    <w:name w:val="heading 4"/>
    <w:basedOn w:val="ListParagraph"/>
    <w:next w:val="Normal"/>
    <w:link w:val="Heading4Char"/>
    <w:uiPriority w:val="9"/>
    <w:unhideWhenUsed w:val="1"/>
    <w:qFormat w:val="1"/>
    <w:rsid w:val="006F7408"/>
    <w:pPr>
      <w:ind w:left="0"/>
      <w:outlineLvl w:val="3"/>
    </w:pPr>
    <w:rPr>
      <w:b w:val="1"/>
      <w:bCs w:val="1"/>
      <w:sz w:val="22"/>
    </w:rPr>
  </w:style>
  <w:style w:type="paragraph" w:styleId="Heading5">
    <w:name w:val="heading 5"/>
    <w:basedOn w:val="Normal"/>
    <w:next w:val="Normal"/>
    <w:link w:val="Heading5Char"/>
    <w:uiPriority w:val="9"/>
    <w:semiHidden w:val="1"/>
    <w:unhideWhenUsed w:val="1"/>
    <w:qFormat w:val="1"/>
    <w:rsid w:val="00873BD6"/>
    <w:pPr>
      <w:keepNext w:val="1"/>
      <w:keepLines w:val="1"/>
      <w:numPr>
        <w:ilvl w:val="4"/>
        <w:numId w:val="4"/>
      </w:numPr>
      <w:spacing w:before="40"/>
      <w:outlineLvl w:val="4"/>
    </w:pPr>
    <w:rPr>
      <w:rFonts w:cstheme="majorBidi" w:eastAsiaTheme="majorEastAsia"/>
      <w:color w:val="161326" w:themeColor="accent1" w:themeShade="0000BF"/>
    </w:rPr>
  </w:style>
  <w:style w:type="paragraph" w:styleId="Heading6">
    <w:name w:val="heading 6"/>
    <w:basedOn w:val="Normal"/>
    <w:next w:val="Normal"/>
    <w:link w:val="Heading6Char"/>
    <w:uiPriority w:val="9"/>
    <w:semiHidden w:val="1"/>
    <w:unhideWhenUsed w:val="1"/>
    <w:qFormat w:val="1"/>
    <w:rsid w:val="00937AA1"/>
    <w:pPr>
      <w:keepNext w:val="1"/>
      <w:keepLines w:val="1"/>
      <w:numPr>
        <w:ilvl w:val="5"/>
        <w:numId w:val="4"/>
      </w:numPr>
      <w:spacing w:before="40"/>
      <w:outlineLvl w:val="5"/>
    </w:pPr>
    <w:rPr>
      <w:rFonts w:asciiTheme="majorHAnsi" w:cstheme="majorBidi" w:eastAsiaTheme="majorEastAsia" w:hAnsiTheme="majorHAnsi"/>
      <w:color w:val="0e0d19" w:themeColor="accent1" w:themeShade="00007F"/>
    </w:rPr>
  </w:style>
  <w:style w:type="paragraph" w:styleId="Heading7">
    <w:name w:val="heading 7"/>
    <w:basedOn w:val="Normal"/>
    <w:next w:val="Normal"/>
    <w:link w:val="Heading7Char"/>
    <w:uiPriority w:val="9"/>
    <w:semiHidden w:val="1"/>
    <w:unhideWhenUsed w:val="1"/>
    <w:qFormat w:val="1"/>
    <w:rsid w:val="00937AA1"/>
    <w:pPr>
      <w:keepNext w:val="1"/>
      <w:keepLines w:val="1"/>
      <w:numPr>
        <w:ilvl w:val="6"/>
        <w:numId w:val="4"/>
      </w:numPr>
      <w:spacing w:before="40"/>
      <w:outlineLvl w:val="6"/>
    </w:pPr>
    <w:rPr>
      <w:rFonts w:asciiTheme="majorHAnsi" w:cstheme="majorBidi" w:eastAsiaTheme="majorEastAsia" w:hAnsiTheme="majorHAnsi"/>
      <w:i w:val="1"/>
      <w:iCs w:val="1"/>
      <w:color w:val="0e0d19" w:themeColor="accent1" w:themeShade="00007F"/>
    </w:rPr>
  </w:style>
  <w:style w:type="paragraph" w:styleId="Heading8">
    <w:name w:val="heading 8"/>
    <w:basedOn w:val="Normal"/>
    <w:next w:val="Normal"/>
    <w:link w:val="Heading8Char"/>
    <w:uiPriority w:val="9"/>
    <w:semiHidden w:val="1"/>
    <w:unhideWhenUsed w:val="1"/>
    <w:qFormat w:val="1"/>
    <w:rsid w:val="00937AA1"/>
    <w:pPr>
      <w:keepNext w:val="1"/>
      <w:keepLines w:val="1"/>
      <w:numPr>
        <w:ilvl w:val="7"/>
        <w:numId w:val="4"/>
      </w:numPr>
      <w:spacing w:before="40"/>
      <w:outlineLvl w:val="7"/>
    </w:pPr>
    <w:rPr>
      <w:rFonts w:asciiTheme="majorHAnsi" w:cstheme="majorBidi" w:eastAsiaTheme="majorEastAsia" w:hAnsiTheme="majorHAnsi"/>
      <w:color w:val="272727" w:themeColor="text1" w:themeTint="0000D8"/>
    </w:rPr>
  </w:style>
  <w:style w:type="paragraph" w:styleId="Heading9">
    <w:name w:val="heading 9"/>
    <w:basedOn w:val="Normal"/>
    <w:next w:val="Normal"/>
    <w:link w:val="Heading9Char"/>
    <w:uiPriority w:val="9"/>
    <w:semiHidden w:val="1"/>
    <w:unhideWhenUsed w:val="1"/>
    <w:qFormat w:val="1"/>
    <w:rsid w:val="00937AA1"/>
    <w:pPr>
      <w:keepNext w:val="1"/>
      <w:keepLines w:val="1"/>
      <w:numPr>
        <w:ilvl w:val="8"/>
        <w:numId w:val="4"/>
      </w:numPr>
      <w:spacing w:before="40"/>
      <w:outlineLvl w:val="8"/>
    </w:pPr>
    <w:rPr>
      <w:rFonts w:asciiTheme="majorHAnsi" w:cstheme="majorBidi" w:eastAsiaTheme="majorEastAsia" w:hAnsiTheme="majorHAnsi"/>
      <w:i w:val="1"/>
      <w:iCs w:val="1"/>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873BD6"/>
    <w:pPr>
      <w:keepNext w:val="1"/>
      <w:keepLines w:val="1"/>
      <w:pBdr>
        <w:top w:space="0" w:sz="0" w:val="nil"/>
        <w:left w:space="0" w:sz="0" w:val="nil"/>
        <w:bottom w:space="0" w:sz="0" w:val="nil"/>
        <w:right w:space="0" w:sz="0" w:val="nil"/>
        <w:between w:space="0" w:sz="0" w:val="nil"/>
      </w:pBdr>
      <w:jc w:val="left"/>
    </w:pPr>
    <w:rPr>
      <w:b w:val="1"/>
      <w:color w:val="00adbc"/>
      <w:sz w:val="40"/>
      <w:szCs w:val="40"/>
    </w:rPr>
  </w:style>
  <w:style w:type="table" w:styleId="TableNormal1" w:customStyle="1">
    <w:name w:val="Table Normal1"/>
    <w:tblPr>
      <w:tblCellMar>
        <w:top w:w="0.0" w:type="dxa"/>
        <w:left w:w="0.0" w:type="dxa"/>
        <w:bottom w:w="0.0" w:type="dxa"/>
        <w:right w:w="0.0" w:type="dxa"/>
      </w:tblCellMar>
    </w:tblPr>
  </w:style>
  <w:style w:type="table" w:styleId="TableNormal2" w:customStyle="1">
    <w:name w:val="Table Normal2"/>
    <w:tblPr>
      <w:tblCellMar>
        <w:top w:w="0.0" w:type="dxa"/>
        <w:left w:w="0.0" w:type="dxa"/>
        <w:bottom w:w="0.0" w:type="dxa"/>
        <w:right w:w="0.0" w:type="dxa"/>
      </w:tblCellMar>
    </w:tblPr>
  </w:style>
  <w:style w:type="table" w:styleId="TableNormal3" w:customStyle="1">
    <w:name w:val="Table Normal3"/>
    <w:tblPr>
      <w:tblCellMar>
        <w:top w:w="0.0" w:type="dxa"/>
        <w:left w:w="0.0" w:type="dxa"/>
        <w:bottom w:w="0.0" w:type="dxa"/>
        <w:right w:w="0.0" w:type="dxa"/>
      </w:tblCellMar>
    </w:tblPr>
  </w:style>
  <w:style w:type="table" w:styleId="TableNormal4" w:customStyle="1">
    <w:name w:val="Table Normal4"/>
    <w:tblPr>
      <w:tblCellMar>
        <w:top w:w="0.0" w:type="dxa"/>
        <w:left w:w="0.0" w:type="dxa"/>
        <w:bottom w:w="0.0" w:type="dxa"/>
        <w:right w:w="0.0" w:type="dxa"/>
      </w:tblCellMar>
    </w:tblPr>
  </w:style>
  <w:style w:type="paragraph" w:styleId="ListParagraph">
    <w:name w:val="List Paragraph"/>
    <w:basedOn w:val="Normal"/>
    <w:uiPriority w:val="1"/>
    <w:qFormat w:val="1"/>
    <w:rsid w:val="00B4665F"/>
    <w:pPr>
      <w:ind w:left="720"/>
      <w:contextualSpacing w:val="1"/>
    </w:pPr>
  </w:style>
  <w:style w:type="character" w:styleId="Heading1Char" w:customStyle="1">
    <w:name w:val="Heading 1 Char"/>
    <w:basedOn w:val="DefaultParagraphFont"/>
    <w:link w:val="Heading1"/>
    <w:uiPriority w:val="9"/>
    <w:rsid w:val="00273E73"/>
    <w:rPr>
      <w:rFonts w:ascii="Arial" w:cs="Arial" w:hAnsi="Arial"/>
      <w:b w:val="1"/>
      <w:bCs w:val="1"/>
      <w:color w:val="29adbc"/>
      <w:sz w:val="32"/>
      <w:szCs w:val="32"/>
    </w:rPr>
  </w:style>
  <w:style w:type="character" w:styleId="Heading2Char" w:customStyle="1">
    <w:name w:val="Heading 2 Char"/>
    <w:basedOn w:val="DefaultParagraphFont"/>
    <w:link w:val="Heading2"/>
    <w:uiPriority w:val="9"/>
    <w:rsid w:val="00273E73"/>
    <w:rPr>
      <w:rFonts w:ascii="Arial" w:cs="Arial" w:hAnsi="Arial"/>
      <w:bCs w:val="1"/>
      <w:color w:val="29adbc"/>
      <w:sz w:val="28"/>
      <w:szCs w:val="28"/>
    </w:rPr>
  </w:style>
  <w:style w:type="character" w:styleId="Heading3Char" w:customStyle="1">
    <w:name w:val="Heading 3 Char"/>
    <w:basedOn w:val="DefaultParagraphFont"/>
    <w:link w:val="Heading3"/>
    <w:uiPriority w:val="9"/>
    <w:rsid w:val="00273E73"/>
    <w:rPr>
      <w:rFonts w:ascii="Arial" w:cs="Arial" w:hAnsi="Arial"/>
      <w:bCs w:val="1"/>
      <w:color w:val="29adbc"/>
      <w:sz w:val="24"/>
      <w:szCs w:val="24"/>
    </w:rPr>
  </w:style>
  <w:style w:type="paragraph" w:styleId="TOCHeading">
    <w:name w:val="TOC Heading"/>
    <w:basedOn w:val="Heading1"/>
    <w:next w:val="Normal"/>
    <w:uiPriority w:val="39"/>
    <w:unhideWhenUsed w:val="1"/>
    <w:qFormat w:val="1"/>
    <w:rsid w:val="005142F0"/>
    <w:pPr>
      <w:spacing w:before="480" w:line="276" w:lineRule="auto"/>
      <w:outlineLvl w:val="9"/>
    </w:pPr>
    <w:rPr>
      <w:b w:val="0"/>
      <w:bCs w:val="0"/>
      <w:sz w:val="28"/>
      <w:szCs w:val="28"/>
      <w:lang w:val="en-US"/>
    </w:rPr>
  </w:style>
  <w:style w:type="paragraph" w:styleId="TOC1">
    <w:name w:val="toc 1"/>
    <w:basedOn w:val="Normal"/>
    <w:next w:val="Normal"/>
    <w:autoRedefine w:val="1"/>
    <w:uiPriority w:val="39"/>
    <w:unhideWhenUsed w:val="1"/>
    <w:rsid w:val="00425D78"/>
    <w:pPr>
      <w:tabs>
        <w:tab w:val="left" w:pos="480"/>
        <w:tab w:val="right" w:pos="9010"/>
      </w:tabs>
      <w:spacing w:before="120"/>
    </w:pPr>
    <w:rPr>
      <w:rFonts w:cstheme="minorHAnsi"/>
      <w:b w:val="1"/>
      <w:bCs w:val="1"/>
      <w:iCs w:val="1"/>
    </w:rPr>
  </w:style>
  <w:style w:type="paragraph" w:styleId="TOC2">
    <w:name w:val="toc 2"/>
    <w:basedOn w:val="Normal"/>
    <w:next w:val="Normal"/>
    <w:autoRedefine w:val="1"/>
    <w:uiPriority w:val="39"/>
    <w:unhideWhenUsed w:val="1"/>
    <w:rsid w:val="00D02D02"/>
    <w:pPr>
      <w:spacing w:before="120"/>
      <w:ind w:left="240"/>
    </w:pPr>
    <w:rPr>
      <w:rFonts w:cstheme="minorHAnsi"/>
      <w:bCs w:val="1"/>
    </w:rPr>
  </w:style>
  <w:style w:type="character" w:styleId="Hyperlink">
    <w:name w:val="Hyperlink"/>
    <w:basedOn w:val="BodyTextChar"/>
    <w:uiPriority w:val="99"/>
    <w:unhideWhenUsed w:val="1"/>
    <w:rsid w:val="00884492"/>
    <w:rPr>
      <w:rFonts w:ascii="Arial" w:cs="Arial" w:hAnsi="Arial"/>
      <w:color w:val="1badbb"/>
      <w:sz w:val="21"/>
      <w:szCs w:val="21"/>
      <w:u w:val="single"/>
      <w:lang w:val="en-US"/>
    </w:rPr>
  </w:style>
  <w:style w:type="paragraph" w:styleId="TOC3">
    <w:name w:val="toc 3"/>
    <w:basedOn w:val="Normal"/>
    <w:next w:val="Normal"/>
    <w:autoRedefine w:val="1"/>
    <w:uiPriority w:val="39"/>
    <w:unhideWhenUsed w:val="1"/>
    <w:rsid w:val="005142F0"/>
    <w:pPr>
      <w:ind w:left="480"/>
    </w:pPr>
    <w:rPr>
      <w:rFonts w:cstheme="minorHAnsi"/>
      <w:sz w:val="20"/>
      <w:szCs w:val="20"/>
    </w:rPr>
  </w:style>
  <w:style w:type="paragraph" w:styleId="TOC4">
    <w:name w:val="toc 4"/>
    <w:basedOn w:val="Normal"/>
    <w:next w:val="Normal"/>
    <w:autoRedefine w:val="1"/>
    <w:uiPriority w:val="39"/>
    <w:unhideWhenUsed w:val="1"/>
    <w:rsid w:val="005142F0"/>
    <w:pPr>
      <w:ind w:left="720"/>
    </w:pPr>
    <w:rPr>
      <w:rFonts w:cstheme="minorHAnsi"/>
      <w:sz w:val="20"/>
      <w:szCs w:val="20"/>
    </w:rPr>
  </w:style>
  <w:style w:type="paragraph" w:styleId="TOC5">
    <w:name w:val="toc 5"/>
    <w:basedOn w:val="Normal"/>
    <w:next w:val="Normal"/>
    <w:autoRedefine w:val="1"/>
    <w:uiPriority w:val="39"/>
    <w:semiHidden w:val="1"/>
    <w:unhideWhenUsed w:val="1"/>
    <w:rsid w:val="005142F0"/>
    <w:pPr>
      <w:ind w:left="960"/>
    </w:pPr>
    <w:rPr>
      <w:rFonts w:cstheme="minorHAnsi"/>
      <w:sz w:val="20"/>
      <w:szCs w:val="20"/>
    </w:rPr>
  </w:style>
  <w:style w:type="paragraph" w:styleId="TOC6">
    <w:name w:val="toc 6"/>
    <w:basedOn w:val="Normal"/>
    <w:next w:val="Normal"/>
    <w:autoRedefine w:val="1"/>
    <w:uiPriority w:val="39"/>
    <w:semiHidden w:val="1"/>
    <w:unhideWhenUsed w:val="1"/>
    <w:rsid w:val="005142F0"/>
    <w:pPr>
      <w:ind w:left="1200"/>
    </w:pPr>
    <w:rPr>
      <w:rFonts w:cstheme="minorHAnsi"/>
      <w:sz w:val="20"/>
      <w:szCs w:val="20"/>
    </w:rPr>
  </w:style>
  <w:style w:type="paragraph" w:styleId="TOC7">
    <w:name w:val="toc 7"/>
    <w:basedOn w:val="Normal"/>
    <w:next w:val="Normal"/>
    <w:autoRedefine w:val="1"/>
    <w:uiPriority w:val="39"/>
    <w:semiHidden w:val="1"/>
    <w:unhideWhenUsed w:val="1"/>
    <w:rsid w:val="005142F0"/>
    <w:pPr>
      <w:ind w:left="1440"/>
    </w:pPr>
    <w:rPr>
      <w:rFonts w:cstheme="minorHAnsi"/>
      <w:sz w:val="20"/>
      <w:szCs w:val="20"/>
    </w:rPr>
  </w:style>
  <w:style w:type="paragraph" w:styleId="TOC8">
    <w:name w:val="toc 8"/>
    <w:basedOn w:val="Normal"/>
    <w:next w:val="Normal"/>
    <w:autoRedefine w:val="1"/>
    <w:uiPriority w:val="39"/>
    <w:semiHidden w:val="1"/>
    <w:unhideWhenUsed w:val="1"/>
    <w:rsid w:val="005142F0"/>
    <w:pPr>
      <w:ind w:left="1680"/>
    </w:pPr>
    <w:rPr>
      <w:rFonts w:cstheme="minorHAnsi"/>
      <w:sz w:val="20"/>
      <w:szCs w:val="20"/>
    </w:rPr>
  </w:style>
  <w:style w:type="paragraph" w:styleId="TOC9">
    <w:name w:val="toc 9"/>
    <w:basedOn w:val="Normal"/>
    <w:next w:val="Normal"/>
    <w:autoRedefine w:val="1"/>
    <w:uiPriority w:val="39"/>
    <w:semiHidden w:val="1"/>
    <w:unhideWhenUsed w:val="1"/>
    <w:rsid w:val="005142F0"/>
    <w:pPr>
      <w:ind w:left="1920"/>
    </w:pPr>
    <w:rPr>
      <w:rFonts w:cstheme="minorHAnsi"/>
      <w:sz w:val="20"/>
      <w:szCs w:val="20"/>
    </w:rPr>
  </w:style>
  <w:style w:type="character" w:styleId="IntenseEmphasis">
    <w:name w:val="Intense Emphasis"/>
    <w:basedOn w:val="DefaultParagraphFont"/>
    <w:uiPriority w:val="21"/>
    <w:qFormat w:val="1"/>
    <w:rsid w:val="005407E3"/>
    <w:rPr>
      <w:i w:val="1"/>
      <w:iCs w:val="1"/>
      <w:color w:val="1e1a34" w:themeColor="accent1"/>
    </w:rPr>
  </w:style>
  <w:style w:type="character" w:styleId="Strong">
    <w:name w:val="Strong"/>
    <w:basedOn w:val="DefaultParagraphFont"/>
    <w:uiPriority w:val="22"/>
    <w:qFormat w:val="1"/>
    <w:rsid w:val="005407E3"/>
    <w:rPr>
      <w:b w:val="1"/>
      <w:bCs w:val="1"/>
    </w:rPr>
  </w:style>
  <w:style w:type="paragraph" w:styleId="Quote">
    <w:name w:val="Quote"/>
    <w:basedOn w:val="Normal"/>
    <w:next w:val="Normal"/>
    <w:link w:val="QuoteChar"/>
    <w:uiPriority w:val="29"/>
    <w:qFormat w:val="1"/>
    <w:rsid w:val="005407E3"/>
    <w:pPr>
      <w:spacing w:after="160" w:before="200"/>
      <w:ind w:left="864" w:right="864"/>
      <w:jc w:val="center"/>
    </w:pPr>
    <w:rPr>
      <w:i w:val="1"/>
      <w:iCs w:val="1"/>
      <w:color w:val="404040" w:themeColor="text1" w:themeTint="0000BF"/>
    </w:rPr>
  </w:style>
  <w:style w:type="character" w:styleId="QuoteChar" w:customStyle="1">
    <w:name w:val="Quote Char"/>
    <w:basedOn w:val="DefaultParagraphFont"/>
    <w:link w:val="Quote"/>
    <w:uiPriority w:val="29"/>
    <w:rsid w:val="005407E3"/>
    <w:rPr>
      <w:i w:val="1"/>
      <w:iCs w:val="1"/>
      <w:color w:val="404040" w:themeColor="text1" w:themeTint="0000BF"/>
    </w:rPr>
  </w:style>
  <w:style w:type="character" w:styleId="SubtleReference">
    <w:name w:val="Subtle Reference"/>
    <w:basedOn w:val="DefaultParagraphFont"/>
    <w:uiPriority w:val="31"/>
    <w:qFormat w:val="1"/>
    <w:rsid w:val="005407E3"/>
    <w:rPr>
      <w:smallCaps w:val="1"/>
      <w:color w:val="5a5a5a" w:themeColor="text1" w:themeTint="0000A5"/>
    </w:rPr>
  </w:style>
  <w:style w:type="character" w:styleId="TitleChar" w:customStyle="1">
    <w:name w:val="Title Char"/>
    <w:basedOn w:val="DefaultParagraphFont"/>
    <w:link w:val="Title"/>
    <w:uiPriority w:val="10"/>
    <w:rsid w:val="00873BD6"/>
    <w:rPr>
      <w:rFonts w:ascii="Arial" w:hAnsi="Arial"/>
      <w:b w:val="1"/>
      <w:color w:val="00adbc"/>
      <w:sz w:val="40"/>
      <w:szCs w:val="40"/>
    </w:rPr>
  </w:style>
  <w:style w:type="paragraph" w:styleId="Subtitle">
    <w:name w:val="Subtitle"/>
    <w:basedOn w:val="Normal"/>
    <w:next w:val="Normal"/>
    <w:link w:val="SubtitleChar"/>
    <w:uiPriority w:val="11"/>
    <w:qFormat w:val="1"/>
    <w:pPr>
      <w:pBdr>
        <w:top w:space="0" w:sz="0" w:val="nil"/>
        <w:left w:space="0" w:sz="0" w:val="nil"/>
        <w:bottom w:space="0" w:sz="0" w:val="nil"/>
        <w:right w:space="0" w:sz="0" w:val="nil"/>
        <w:between w:space="0" w:sz="0" w:val="nil"/>
      </w:pBdr>
      <w:spacing w:after="160"/>
      <w:jc w:val="left"/>
    </w:pPr>
    <w:rPr>
      <w:color w:val="5a5a5a"/>
    </w:rPr>
  </w:style>
  <w:style w:type="character" w:styleId="SubtitleChar" w:customStyle="1">
    <w:name w:val="Subtitle Char"/>
    <w:basedOn w:val="DefaultParagraphFont"/>
    <w:link w:val="Subtitle"/>
    <w:uiPriority w:val="11"/>
    <w:rsid w:val="00E73836"/>
    <w:rPr>
      <w:rFonts w:eastAsiaTheme="minorEastAsia"/>
      <w:color w:val="5a5a5a" w:themeColor="text1" w:themeTint="0000A5"/>
      <w:spacing w:val="15"/>
      <w:sz w:val="22"/>
      <w:szCs w:val="22"/>
    </w:rPr>
  </w:style>
  <w:style w:type="paragraph" w:styleId="NormalWeb">
    <w:name w:val="Normal (Web)"/>
    <w:basedOn w:val="Normal"/>
    <w:uiPriority w:val="99"/>
    <w:semiHidden w:val="1"/>
    <w:unhideWhenUsed w:val="1"/>
    <w:rsid w:val="005D0B65"/>
    <w:pPr>
      <w:spacing w:after="100" w:afterAutospacing="1" w:before="100" w:beforeAutospacing="1"/>
    </w:pPr>
    <w:rPr>
      <w:rFonts w:ascii="Times New Roman" w:cs="Times New Roman" w:eastAsia="Times New Roman" w:hAnsi="Times New Roman"/>
      <w:lang w:eastAsia="zh-CN"/>
    </w:rPr>
  </w:style>
  <w:style w:type="paragraph" w:styleId="BodyText">
    <w:name w:val="Body Text"/>
    <w:basedOn w:val="Normal"/>
    <w:link w:val="BodyTextChar"/>
    <w:uiPriority w:val="1"/>
    <w:qFormat w:val="1"/>
    <w:rsid w:val="00B4665F"/>
    <w:pPr>
      <w:widowControl w:val="0"/>
    </w:pPr>
    <w:rPr>
      <w:color w:val="000000" w:themeColor="text1"/>
      <w:lang w:val="en-US"/>
    </w:rPr>
  </w:style>
  <w:style w:type="character" w:styleId="BodyTextChar" w:customStyle="1">
    <w:name w:val="Body Text Char"/>
    <w:basedOn w:val="DefaultParagraphFont"/>
    <w:link w:val="BodyText"/>
    <w:uiPriority w:val="1"/>
    <w:rsid w:val="00B4665F"/>
    <w:rPr>
      <w:rFonts w:ascii="Arial" w:cs="Arial" w:hAnsi="Arial"/>
      <w:color w:val="000000" w:themeColor="text1"/>
      <w:sz w:val="21"/>
      <w:szCs w:val="21"/>
      <w:lang w:val="en-US"/>
    </w:rPr>
  </w:style>
  <w:style w:type="table" w:styleId="TableGrid">
    <w:name w:val="Table Grid"/>
    <w:basedOn w:val="TableNormal"/>
    <w:uiPriority w:val="39"/>
    <w:rsid w:val="00C90F5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3D4BB1"/>
    <w:pPr>
      <w:tabs>
        <w:tab w:val="center" w:pos="4513"/>
        <w:tab w:val="right" w:pos="9026"/>
      </w:tabs>
    </w:pPr>
  </w:style>
  <w:style w:type="character" w:styleId="HeaderChar" w:customStyle="1">
    <w:name w:val="Header Char"/>
    <w:basedOn w:val="DefaultParagraphFont"/>
    <w:link w:val="Header"/>
    <w:uiPriority w:val="99"/>
    <w:rsid w:val="003D4BB1"/>
  </w:style>
  <w:style w:type="paragraph" w:styleId="Footer">
    <w:name w:val="footer"/>
    <w:basedOn w:val="Normal"/>
    <w:link w:val="FooterChar"/>
    <w:uiPriority w:val="99"/>
    <w:unhideWhenUsed w:val="1"/>
    <w:rsid w:val="005313EB"/>
    <w:pPr>
      <w:tabs>
        <w:tab w:val="center" w:pos="4513"/>
        <w:tab w:val="right" w:pos="9026"/>
      </w:tabs>
      <w:jc w:val="center"/>
    </w:pPr>
    <w:rPr>
      <w:sz w:val="20"/>
    </w:rPr>
  </w:style>
  <w:style w:type="character" w:styleId="FooterChar" w:customStyle="1">
    <w:name w:val="Footer Char"/>
    <w:basedOn w:val="DefaultParagraphFont"/>
    <w:link w:val="Footer"/>
    <w:uiPriority w:val="99"/>
    <w:rsid w:val="005313EB"/>
    <w:rPr>
      <w:rFonts w:ascii="Arial" w:hAnsi="Arial"/>
      <w:sz w:val="20"/>
    </w:rPr>
  </w:style>
  <w:style w:type="table" w:styleId="TableNormal10" w:customStyle="1">
    <w:name w:val="Table Normal1"/>
    <w:uiPriority w:val="2"/>
    <w:semiHidden w:val="1"/>
    <w:unhideWhenUsed w:val="1"/>
    <w:qFormat w:val="1"/>
    <w:rsid w:val="00864A19"/>
    <w:pPr>
      <w:widowControl w:val="0"/>
      <w:autoSpaceDE w:val="0"/>
      <w:autoSpaceDN w:val="0"/>
    </w:pPr>
    <w:rPr>
      <w:lang w:val="en-US"/>
    </w:rPr>
    <w:tblPr>
      <w:tblInd w:w="0.0" w:type="dxa"/>
      <w:tblCellMar>
        <w:top w:w="0.0" w:type="dxa"/>
        <w:left w:w="0.0" w:type="dxa"/>
        <w:bottom w:w="0.0" w:type="dxa"/>
        <w:right w:w="0.0" w:type="dxa"/>
      </w:tblCellMar>
    </w:tblPr>
  </w:style>
  <w:style w:type="paragraph" w:styleId="TableParagraph" w:customStyle="1">
    <w:name w:val="Table Paragraph"/>
    <w:basedOn w:val="Normal"/>
    <w:uiPriority w:val="1"/>
    <w:qFormat w:val="1"/>
    <w:rsid w:val="00864A19"/>
    <w:pPr>
      <w:widowControl w:val="0"/>
      <w:autoSpaceDE w:val="0"/>
      <w:autoSpaceDN w:val="0"/>
    </w:pPr>
    <w:rPr>
      <w:rFonts w:ascii="Cambria" w:cs="Cambria" w:eastAsia="Cambria" w:hAnsi="Cambria"/>
      <w:lang w:val="en-US"/>
    </w:rPr>
  </w:style>
  <w:style w:type="character" w:styleId="UnresolvedMention">
    <w:name w:val="Unresolved Mention"/>
    <w:basedOn w:val="DefaultParagraphFont"/>
    <w:uiPriority w:val="99"/>
    <w:semiHidden w:val="1"/>
    <w:unhideWhenUsed w:val="1"/>
    <w:rsid w:val="00D35200"/>
    <w:rPr>
      <w:color w:val="605e5c"/>
      <w:shd w:color="auto" w:fill="e1dfdd" w:val="clear"/>
    </w:rPr>
  </w:style>
  <w:style w:type="character" w:styleId="Heading4Char" w:customStyle="1">
    <w:name w:val="Heading 4 Char"/>
    <w:basedOn w:val="DefaultParagraphFont"/>
    <w:link w:val="Heading4"/>
    <w:uiPriority w:val="9"/>
    <w:rsid w:val="006F7408"/>
    <w:rPr>
      <w:rFonts w:ascii="Arial" w:cs="Arial" w:hAnsi="Arial"/>
      <w:b w:val="1"/>
      <w:bCs w:val="1"/>
    </w:rPr>
  </w:style>
  <w:style w:type="character" w:styleId="Heading5Char" w:customStyle="1">
    <w:name w:val="Heading 5 Char"/>
    <w:basedOn w:val="DefaultParagraphFont"/>
    <w:link w:val="Heading5"/>
    <w:uiPriority w:val="9"/>
    <w:semiHidden w:val="1"/>
    <w:rsid w:val="00873BD6"/>
    <w:rPr>
      <w:rFonts w:ascii="Arial" w:hAnsi="Arial" w:cstheme="majorBidi" w:eastAsiaTheme="majorEastAsia"/>
      <w:color w:val="161326" w:themeColor="accent1" w:themeShade="0000BF"/>
      <w:sz w:val="21"/>
    </w:rPr>
  </w:style>
  <w:style w:type="character" w:styleId="Heading6Char" w:customStyle="1">
    <w:name w:val="Heading 6 Char"/>
    <w:basedOn w:val="DefaultParagraphFont"/>
    <w:link w:val="Heading6"/>
    <w:uiPriority w:val="9"/>
    <w:semiHidden w:val="1"/>
    <w:rsid w:val="00937AA1"/>
    <w:rPr>
      <w:rFonts w:asciiTheme="majorHAnsi" w:cstheme="majorBidi" w:eastAsiaTheme="majorEastAsia" w:hAnsiTheme="majorHAnsi"/>
      <w:color w:val="0e0d19" w:themeColor="accent1" w:themeShade="00007F"/>
    </w:rPr>
  </w:style>
  <w:style w:type="character" w:styleId="Heading7Char" w:customStyle="1">
    <w:name w:val="Heading 7 Char"/>
    <w:basedOn w:val="DefaultParagraphFont"/>
    <w:link w:val="Heading7"/>
    <w:uiPriority w:val="9"/>
    <w:semiHidden w:val="1"/>
    <w:rsid w:val="00937AA1"/>
    <w:rPr>
      <w:rFonts w:asciiTheme="majorHAnsi" w:cstheme="majorBidi" w:eastAsiaTheme="majorEastAsia" w:hAnsiTheme="majorHAnsi"/>
      <w:i w:val="1"/>
      <w:iCs w:val="1"/>
      <w:color w:val="0e0d19" w:themeColor="accent1" w:themeShade="00007F"/>
    </w:rPr>
  </w:style>
  <w:style w:type="character" w:styleId="Heading8Char" w:customStyle="1">
    <w:name w:val="Heading 8 Char"/>
    <w:basedOn w:val="DefaultParagraphFont"/>
    <w:link w:val="Heading8"/>
    <w:uiPriority w:val="9"/>
    <w:semiHidden w:val="1"/>
    <w:rsid w:val="00937AA1"/>
    <w:rPr>
      <w:rFonts w:asciiTheme="majorHAnsi" w:cstheme="majorBidi" w:eastAsiaTheme="majorEastAsia" w:hAnsiTheme="majorHAnsi"/>
      <w:color w:val="272727" w:themeColor="text1" w:themeTint="0000D8"/>
      <w:sz w:val="21"/>
      <w:szCs w:val="21"/>
    </w:rPr>
  </w:style>
  <w:style w:type="character" w:styleId="Heading9Char" w:customStyle="1">
    <w:name w:val="Heading 9 Char"/>
    <w:basedOn w:val="DefaultParagraphFont"/>
    <w:link w:val="Heading9"/>
    <w:uiPriority w:val="9"/>
    <w:semiHidden w:val="1"/>
    <w:rsid w:val="00937AA1"/>
    <w:rPr>
      <w:rFonts w:asciiTheme="majorHAnsi" w:cstheme="majorBidi" w:eastAsiaTheme="majorEastAsia" w:hAnsiTheme="majorHAnsi"/>
      <w:i w:val="1"/>
      <w:iCs w:val="1"/>
      <w:color w:val="272727" w:themeColor="text1" w:themeTint="0000D8"/>
      <w:sz w:val="21"/>
      <w:szCs w:val="21"/>
    </w:rPr>
  </w:style>
  <w:style w:type="character" w:styleId="apple-converted-space" w:customStyle="1">
    <w:name w:val="apple-converted-space"/>
    <w:basedOn w:val="DefaultParagraphFont"/>
    <w:rsid w:val="008F3079"/>
  </w:style>
  <w:style w:type="character" w:styleId="normaltextrun" w:customStyle="1">
    <w:name w:val="normaltextrun"/>
    <w:basedOn w:val="DefaultParagraphFont"/>
    <w:rsid w:val="00532FDB"/>
  </w:style>
  <w:style w:type="paragraph" w:styleId="paragraph" w:customStyle="1">
    <w:name w:val="paragraph"/>
    <w:basedOn w:val="Normal"/>
    <w:rsid w:val="00532FDB"/>
    <w:pPr>
      <w:spacing w:after="100" w:afterAutospacing="1" w:before="100" w:beforeAutospacing="1"/>
    </w:pPr>
    <w:rPr>
      <w:rFonts w:ascii="Times New Roman" w:cs="Times New Roman" w:eastAsia="Times New Roman" w:hAnsi="Times New Roman"/>
      <w:lang w:eastAsia="zh-CN"/>
    </w:rPr>
  </w:style>
  <w:style w:type="character" w:styleId="eop" w:customStyle="1">
    <w:name w:val="eop"/>
    <w:basedOn w:val="DefaultParagraphFont"/>
    <w:rsid w:val="00532FDB"/>
  </w:style>
  <w:style w:type="character" w:styleId="contextualspellingandgrammarerror" w:customStyle="1">
    <w:name w:val="contextualspellingandgrammarerror"/>
    <w:basedOn w:val="DefaultParagraphFont"/>
    <w:rsid w:val="00154F2C"/>
  </w:style>
  <w:style w:type="character" w:styleId="spellingerror" w:customStyle="1">
    <w:name w:val="spellingerror"/>
    <w:basedOn w:val="DefaultParagraphFont"/>
    <w:rsid w:val="00154F2C"/>
  </w:style>
  <w:style w:type="paragraph" w:styleId="CommentText">
    <w:name w:val="annotation text"/>
    <w:basedOn w:val="Normal"/>
    <w:link w:val="CommentTextChar"/>
    <w:uiPriority w:val="99"/>
    <w:unhideWhenUsed w:val="1"/>
    <w:rsid w:val="00F30821"/>
    <w:rPr>
      <w:sz w:val="18"/>
      <w:szCs w:val="20"/>
    </w:rPr>
  </w:style>
  <w:style w:type="character" w:styleId="CommentTextChar" w:customStyle="1">
    <w:name w:val="Comment Text Char"/>
    <w:basedOn w:val="DefaultParagraphFont"/>
    <w:link w:val="CommentText"/>
    <w:uiPriority w:val="99"/>
    <w:rsid w:val="00F30821"/>
    <w:rPr>
      <w:rFonts w:ascii="Arial" w:hAnsi="Arial"/>
      <w:sz w:val="18"/>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C32C33"/>
    <w:rPr>
      <w:rFonts w:ascii="Times New Roman" w:cs="Times New Roman" w:hAnsi="Times New Roman"/>
      <w:sz w:val="18"/>
      <w:szCs w:val="18"/>
    </w:rPr>
  </w:style>
  <w:style w:type="character" w:styleId="BalloonTextChar" w:customStyle="1">
    <w:name w:val="Balloon Text Char"/>
    <w:basedOn w:val="DefaultParagraphFont"/>
    <w:link w:val="BalloonText"/>
    <w:uiPriority w:val="99"/>
    <w:semiHidden w:val="1"/>
    <w:rsid w:val="00C32C33"/>
    <w:rPr>
      <w:rFonts w:ascii="Times New Roman" w:cs="Times New Roman" w:hAnsi="Times New Roman"/>
      <w:sz w:val="18"/>
      <w:szCs w:val="18"/>
    </w:rPr>
  </w:style>
  <w:style w:type="character" w:styleId="SubtleEmphasis">
    <w:name w:val="Subtle Emphasis"/>
    <w:basedOn w:val="DefaultParagraphFont"/>
    <w:uiPriority w:val="19"/>
    <w:qFormat w:val="1"/>
    <w:rsid w:val="00CA4E10"/>
    <w:rPr>
      <w:i w:val="1"/>
      <w:iCs w:val="1"/>
      <w:color w:val="404040" w:themeColor="text1" w:themeTint="0000BF"/>
    </w:rPr>
  </w:style>
  <w:style w:type="paragraph" w:styleId="IntenseQuote">
    <w:name w:val="Intense Quote"/>
    <w:basedOn w:val="Normal"/>
    <w:next w:val="Normal"/>
    <w:link w:val="IntenseQuoteChar"/>
    <w:uiPriority w:val="30"/>
    <w:qFormat w:val="1"/>
    <w:rsid w:val="00C45299"/>
    <w:pPr>
      <w:pBdr>
        <w:top w:color="1e1a34" w:space="10" w:sz="4" w:themeColor="accent1" w:val="single"/>
        <w:bottom w:color="1e1a34" w:space="10" w:sz="4" w:themeColor="accent1" w:val="single"/>
      </w:pBdr>
      <w:spacing w:after="360" w:before="360"/>
      <w:ind w:left="864" w:right="864"/>
      <w:jc w:val="center"/>
    </w:pPr>
    <w:rPr>
      <w:i w:val="1"/>
      <w:iCs w:val="1"/>
      <w:color w:val="1e1a34" w:themeColor="accent1"/>
    </w:rPr>
  </w:style>
  <w:style w:type="character" w:styleId="IntenseQuoteChar" w:customStyle="1">
    <w:name w:val="Intense Quote Char"/>
    <w:basedOn w:val="DefaultParagraphFont"/>
    <w:link w:val="IntenseQuote"/>
    <w:uiPriority w:val="30"/>
    <w:rsid w:val="00C45299"/>
    <w:rPr>
      <w:i w:val="1"/>
      <w:iCs w:val="1"/>
      <w:color w:val="1e1a34" w:themeColor="accent1"/>
    </w:rPr>
  </w:style>
  <w:style w:type="paragraph" w:styleId="CommentSubject">
    <w:name w:val="annotation subject"/>
    <w:basedOn w:val="CommentText"/>
    <w:next w:val="CommentText"/>
    <w:link w:val="CommentSubjectChar"/>
    <w:uiPriority w:val="99"/>
    <w:semiHidden w:val="1"/>
    <w:unhideWhenUsed w:val="1"/>
    <w:rsid w:val="0084598B"/>
    <w:rPr>
      <w:b w:val="1"/>
      <w:bCs w:val="1"/>
    </w:rPr>
  </w:style>
  <w:style w:type="character" w:styleId="CommentSubjectChar" w:customStyle="1">
    <w:name w:val="Comment Subject Char"/>
    <w:basedOn w:val="CommentTextChar"/>
    <w:link w:val="CommentSubject"/>
    <w:uiPriority w:val="99"/>
    <w:semiHidden w:val="1"/>
    <w:rsid w:val="0084598B"/>
    <w:rPr>
      <w:rFonts w:ascii="Arial" w:hAnsi="Arial"/>
      <w:b w:val="1"/>
      <w:bCs w:val="1"/>
      <w:sz w:val="20"/>
      <w:szCs w:val="20"/>
    </w:rPr>
  </w:style>
  <w:style w:type="character" w:styleId="FollowedHyperlink">
    <w:name w:val="FollowedHyperlink"/>
    <w:basedOn w:val="DefaultParagraphFont"/>
    <w:uiPriority w:val="99"/>
    <w:semiHidden w:val="1"/>
    <w:unhideWhenUsed w:val="1"/>
    <w:rsid w:val="0073563C"/>
    <w:rPr>
      <w:color w:val="1cadb8" w:themeColor="followedHyperlink"/>
      <w:u w:val="single"/>
    </w:rPr>
  </w:style>
  <w:style w:type="table" w:styleId="a" w:customStyle="1">
    <w:basedOn w:val="TableNormal4"/>
    <w:tblPr>
      <w:tblStyleRowBandSize w:val="1"/>
      <w:tblStyleColBandSize w:val="1"/>
      <w:tblCellMar>
        <w:left w:w="108.0" w:type="dxa"/>
        <w:right w:w="108.0" w:type="dxa"/>
      </w:tblCellMar>
    </w:tblPr>
  </w:style>
  <w:style w:type="table" w:styleId="a0" w:customStyle="1">
    <w:basedOn w:val="TableNormal4"/>
    <w:tblPr>
      <w:tblStyleRowBandSize w:val="1"/>
      <w:tblStyleColBandSize w:val="1"/>
      <w:tblCellMar>
        <w:left w:w="108.0" w:type="dxa"/>
        <w:right w:w="108.0" w:type="dxa"/>
      </w:tblCellMar>
    </w:tblPr>
  </w:style>
  <w:style w:type="table" w:styleId="a1" w:customStyle="1">
    <w:basedOn w:val="TableNormal4"/>
    <w:tblPr>
      <w:tblStyleRowBandSize w:val="1"/>
      <w:tblStyleColBandSize w:val="1"/>
      <w:tblCellMar>
        <w:left w:w="108.0" w:type="dxa"/>
        <w:right w:w="108.0" w:type="dxa"/>
      </w:tblCellMar>
    </w:tblPr>
  </w:style>
  <w:style w:type="table" w:styleId="a2" w:customStyle="1">
    <w:basedOn w:val="TableNormal4"/>
    <w:pPr>
      <w:widowControl w:val="0"/>
    </w:pPr>
    <w:tblPr>
      <w:tblStyleRowBandSize w:val="1"/>
      <w:tblStyleColBandSize w:val="1"/>
    </w:tblPr>
  </w:style>
  <w:style w:type="table" w:styleId="a3" w:customStyle="1">
    <w:basedOn w:val="TableNormal4"/>
    <w:tblPr>
      <w:tblStyleRowBandSize w:val="1"/>
      <w:tblStyleColBandSize w:val="1"/>
      <w:tblCellMar>
        <w:left w:w="108.0" w:type="dxa"/>
        <w:right w:w="108.0" w:type="dxa"/>
      </w:tblCellMar>
    </w:tblPr>
  </w:style>
  <w:style w:type="table" w:styleId="a4" w:customStyle="1">
    <w:basedOn w:val="TableNormal4"/>
    <w:tblPr>
      <w:tblStyleRowBandSize w:val="1"/>
      <w:tblStyleColBandSize w:val="1"/>
      <w:tblCellMar>
        <w:left w:w="108.0" w:type="dxa"/>
        <w:right w:w="108.0" w:type="dxa"/>
      </w:tblCellMar>
    </w:tblPr>
  </w:style>
  <w:style w:type="table" w:styleId="a5" w:customStyle="1">
    <w:basedOn w:val="TableNormal4"/>
    <w:tblPr>
      <w:tblStyleRowBandSize w:val="1"/>
      <w:tblStyleColBandSize w:val="1"/>
      <w:tblCellMar>
        <w:left w:w="115.0" w:type="dxa"/>
        <w:right w:w="115.0" w:type="dxa"/>
      </w:tblCellMar>
    </w:tblPr>
  </w:style>
  <w:style w:type="table" w:styleId="a6" w:customStyle="1">
    <w:basedOn w:val="TableNormal4"/>
    <w:tblPr>
      <w:tblStyleRowBandSize w:val="1"/>
      <w:tblStyleColBandSize w:val="1"/>
      <w:tblCellMar>
        <w:left w:w="115.0" w:type="dxa"/>
        <w:right w:w="115.0" w:type="dxa"/>
      </w:tblCellMar>
    </w:tblPr>
  </w:style>
  <w:style w:type="table" w:styleId="a7" w:customStyle="1">
    <w:basedOn w:val="TableNormal4"/>
    <w:pPr>
      <w:widowControl w:val="0"/>
    </w:pPr>
    <w:tblPr>
      <w:tblStyleRowBandSize w:val="1"/>
      <w:tblStyleColBandSize w:val="1"/>
      <w:tblCellMar>
        <w:left w:w="115.0" w:type="dxa"/>
        <w:right w:w="115.0" w:type="dxa"/>
      </w:tblCellMar>
    </w:tblPr>
  </w:style>
  <w:style w:type="table" w:styleId="a8" w:customStyle="1">
    <w:basedOn w:val="TableNormal4"/>
    <w:pPr>
      <w:widowControl w:val="0"/>
    </w:pPr>
    <w:tblPr>
      <w:tblStyleRowBandSize w:val="1"/>
      <w:tblStyleColBandSize w:val="1"/>
      <w:tblCellMar>
        <w:left w:w="115.0" w:type="dxa"/>
        <w:right w:w="115.0" w:type="dxa"/>
      </w:tblCellMar>
    </w:tblPr>
  </w:style>
  <w:style w:type="table" w:styleId="a9" w:customStyle="1">
    <w:basedOn w:val="TableNormal4"/>
    <w:pPr>
      <w:widowControl w:val="0"/>
    </w:pPr>
    <w:tblPr>
      <w:tblStyleRowBandSize w:val="1"/>
      <w:tblStyleColBandSize w:val="1"/>
      <w:tblCellMar>
        <w:left w:w="115.0" w:type="dxa"/>
        <w:right w:w="115.0" w:type="dxa"/>
      </w:tblCellMar>
    </w:tblPr>
  </w:style>
  <w:style w:type="table" w:styleId="aa" w:customStyle="1">
    <w:basedOn w:val="TableNormal4"/>
    <w:tblPr>
      <w:tblStyleRowBandSize w:val="1"/>
      <w:tblStyleColBandSize w:val="1"/>
      <w:tblCellMar>
        <w:top w:w="100.0" w:type="dxa"/>
        <w:left w:w="100.0" w:type="dxa"/>
        <w:bottom w:w="100.0" w:type="dxa"/>
        <w:right w:w="100.0" w:type="dxa"/>
      </w:tblCellMar>
    </w:tblPr>
  </w:style>
  <w:style w:type="table" w:styleId="ab" w:customStyle="1">
    <w:basedOn w:val="TableNormal4"/>
    <w:pPr>
      <w:widowControl w:val="0"/>
    </w:pPr>
    <w:tblPr>
      <w:tblStyleRowBandSize w:val="1"/>
      <w:tblStyleColBandSize w:val="1"/>
      <w:tblCellMar>
        <w:left w:w="115.0" w:type="dxa"/>
        <w:right w:w="115.0" w:type="dxa"/>
      </w:tblCellMar>
    </w:tblPr>
  </w:style>
  <w:style w:type="table" w:styleId="ac" w:customStyle="1">
    <w:basedOn w:val="TableNormal4"/>
    <w:pPr>
      <w:widowControl w:val="0"/>
    </w:pPr>
    <w:tblPr>
      <w:tblStyleRowBandSize w:val="1"/>
      <w:tblStyleColBandSize w:val="1"/>
      <w:tblCellMar>
        <w:left w:w="115.0" w:type="dxa"/>
        <w:right w:w="115.0" w:type="dxa"/>
      </w:tblCellMar>
    </w:tblPr>
  </w:style>
  <w:style w:type="table" w:styleId="ad" w:customStyle="1">
    <w:basedOn w:val="TableNormal4"/>
    <w:tblPr>
      <w:tblStyleRowBandSize w:val="1"/>
      <w:tblStyleColBandSize w:val="1"/>
    </w:tblPr>
  </w:style>
  <w:style w:type="table" w:styleId="ae" w:customStyle="1">
    <w:basedOn w:val="TableNormal4"/>
    <w:tblPr>
      <w:tblStyleRowBandSize w:val="1"/>
      <w:tblStyleColBandSize w:val="1"/>
      <w:tblCellMar>
        <w:top w:w="100.0" w:type="dxa"/>
        <w:left w:w="100.0" w:type="dxa"/>
        <w:bottom w:w="100.0" w:type="dxa"/>
        <w:right w:w="100.0" w:type="dxa"/>
      </w:tblCellMar>
    </w:tblPr>
  </w:style>
  <w:style w:type="table" w:styleId="af" w:customStyle="1">
    <w:basedOn w:val="TableNormal4"/>
    <w:tblPr>
      <w:tblStyleRowBandSize w:val="1"/>
      <w:tblStyleColBandSize w:val="1"/>
      <w:tblCellMar>
        <w:top w:w="100.0" w:type="dxa"/>
        <w:left w:w="100.0" w:type="dxa"/>
        <w:bottom w:w="100.0" w:type="dxa"/>
        <w:right w:w="100.0" w:type="dxa"/>
      </w:tblCellMar>
    </w:tblPr>
  </w:style>
  <w:style w:type="table" w:styleId="af0" w:customStyle="1">
    <w:basedOn w:val="TableNormal4"/>
    <w:pPr>
      <w:widowControl w:val="0"/>
    </w:pPr>
    <w:tblPr>
      <w:tblStyleRowBandSize w:val="1"/>
      <w:tblStyleColBandSize w:val="1"/>
    </w:tblPr>
  </w:style>
  <w:style w:type="table" w:styleId="af1" w:customStyle="1">
    <w:basedOn w:val="TableNormal4"/>
    <w:pPr>
      <w:widowControl w:val="0"/>
    </w:pPr>
    <w:tblPr>
      <w:tblStyleRowBandSize w:val="1"/>
      <w:tblStyleColBandSize w:val="1"/>
    </w:tblPr>
  </w:style>
  <w:style w:type="table" w:styleId="af2" w:customStyle="1">
    <w:basedOn w:val="TableNormal4"/>
    <w:pPr>
      <w:widowControl w:val="0"/>
    </w:pPr>
    <w:tblPr>
      <w:tblStyleRowBandSize w:val="1"/>
      <w:tblStyleColBandSize w:val="1"/>
    </w:tblPr>
  </w:style>
  <w:style w:type="table" w:styleId="af3" w:customStyle="1">
    <w:basedOn w:val="TableNormal4"/>
    <w:pPr>
      <w:widowControl w:val="0"/>
    </w:pPr>
    <w:tblPr>
      <w:tblStyleRowBandSize w:val="1"/>
      <w:tblStyleColBandSize w:val="1"/>
    </w:tblPr>
  </w:style>
  <w:style w:type="table" w:styleId="af4" w:customStyle="1">
    <w:basedOn w:val="TableNormal4"/>
    <w:tblPr>
      <w:tblStyleRowBandSize w:val="1"/>
      <w:tblStyleColBandSize w:val="1"/>
      <w:tblCellMar>
        <w:top w:w="100.0" w:type="dxa"/>
        <w:left w:w="100.0" w:type="dxa"/>
        <w:bottom w:w="100.0" w:type="dxa"/>
        <w:right w:w="100.0" w:type="dxa"/>
      </w:tblCellMar>
    </w:tblPr>
  </w:style>
  <w:style w:type="table" w:styleId="af5" w:customStyle="1">
    <w:basedOn w:val="TableNormal4"/>
    <w:pPr>
      <w:widowControl w:val="0"/>
    </w:pPr>
    <w:tblPr>
      <w:tblStyleRowBandSize w:val="1"/>
      <w:tblStyleColBandSize w:val="1"/>
    </w:tblPr>
  </w:style>
  <w:style w:type="table" w:styleId="af6" w:customStyle="1">
    <w:basedOn w:val="TableNormal4"/>
    <w:pPr>
      <w:widowControl w:val="0"/>
    </w:pPr>
    <w:tblPr>
      <w:tblStyleRowBandSize w:val="1"/>
      <w:tblStyleColBandSize w:val="1"/>
    </w:tblPr>
  </w:style>
  <w:style w:type="table" w:styleId="af7" w:customStyle="1">
    <w:basedOn w:val="TableNormal4"/>
    <w:pPr>
      <w:widowControl w:val="0"/>
    </w:pPr>
    <w:tblPr>
      <w:tblStyleRowBandSize w:val="1"/>
      <w:tblStyleColBandSize w:val="1"/>
    </w:tblPr>
  </w:style>
  <w:style w:type="table" w:styleId="af8" w:customStyle="1">
    <w:basedOn w:val="TableNormal4"/>
    <w:pPr>
      <w:widowControl w:val="0"/>
    </w:pPr>
    <w:tblPr>
      <w:tblStyleRowBandSize w:val="1"/>
      <w:tblStyleColBandSize w:val="1"/>
    </w:tblPr>
  </w:style>
  <w:style w:type="table" w:styleId="af9" w:customStyle="1">
    <w:basedOn w:val="TableNormal4"/>
    <w:pPr>
      <w:widowControl w:val="0"/>
    </w:pPr>
    <w:tblPr>
      <w:tblStyleRowBandSize w:val="1"/>
      <w:tblStyleColBandSize w:val="1"/>
    </w:tblPr>
  </w:style>
  <w:style w:type="table" w:styleId="afa" w:customStyle="1">
    <w:basedOn w:val="TableNormal4"/>
    <w:pPr>
      <w:widowControl w:val="0"/>
    </w:pPr>
    <w:tblPr>
      <w:tblStyleRowBandSize w:val="1"/>
      <w:tblStyleColBandSize w:val="1"/>
    </w:tblPr>
  </w:style>
  <w:style w:type="table" w:styleId="afb" w:customStyle="1">
    <w:basedOn w:val="TableNormal4"/>
    <w:pPr>
      <w:widowControl w:val="0"/>
    </w:pPr>
    <w:tblPr>
      <w:tblStyleRowBandSize w:val="1"/>
      <w:tblStyleColBandSize w:val="1"/>
    </w:tblPr>
  </w:style>
  <w:style w:type="table" w:styleId="afc" w:customStyle="1">
    <w:basedOn w:val="TableNormal4"/>
    <w:pPr>
      <w:widowControl w:val="0"/>
    </w:pPr>
    <w:tblPr>
      <w:tblStyleRowBandSize w:val="1"/>
      <w:tblStyleColBandSize w:val="1"/>
    </w:tblPr>
  </w:style>
  <w:style w:type="table" w:styleId="afd" w:customStyle="1">
    <w:basedOn w:val="TableNormal4"/>
    <w:pPr>
      <w:widowControl w:val="0"/>
    </w:pPr>
    <w:tblPr>
      <w:tblStyleRowBandSize w:val="1"/>
      <w:tblStyleColBandSize w:val="1"/>
    </w:tblPr>
  </w:style>
  <w:style w:type="paragraph" w:styleId="NoSpacing">
    <w:name w:val="No Spacing"/>
    <w:link w:val="NoSpacingChar"/>
    <w:uiPriority w:val="1"/>
    <w:qFormat w:val="1"/>
    <w:rsid w:val="00B0065D"/>
    <w:pPr>
      <w:jc w:val="left"/>
    </w:pPr>
    <w:rPr>
      <w:rFonts w:asciiTheme="minorHAnsi" w:cstheme="minorBidi" w:eastAsiaTheme="minorEastAsia" w:hAnsiTheme="minorHAnsi"/>
      <w:color w:val="auto"/>
      <w:lang w:eastAsia="zh-CN" w:val="en-US"/>
    </w:rPr>
  </w:style>
  <w:style w:type="character" w:styleId="NoSpacingChar" w:customStyle="1">
    <w:name w:val="No Spacing Char"/>
    <w:basedOn w:val="DefaultParagraphFont"/>
    <w:link w:val="NoSpacing"/>
    <w:uiPriority w:val="1"/>
    <w:rsid w:val="00B0065D"/>
    <w:rPr>
      <w:rFonts w:asciiTheme="minorHAnsi" w:cstheme="minorBidi" w:eastAsiaTheme="minorEastAsia" w:hAnsiTheme="minorHAnsi"/>
      <w:color w:val="auto"/>
      <w:lang w:eastAsia="zh-CN" w:val="en-US"/>
    </w:rPr>
  </w:style>
  <w:style w:type="table" w:styleId="afe" w:customStyle="1">
    <w:basedOn w:val="TableNormal1"/>
    <w:tblPr>
      <w:tblStyleRowBandSize w:val="1"/>
      <w:tblStyleColBandSize w:val="1"/>
      <w:tblCellMar>
        <w:left w:w="108.0" w:type="dxa"/>
        <w:right w:w="108.0" w:type="dxa"/>
      </w:tblCellMar>
    </w:tblPr>
  </w:style>
  <w:style w:type="table" w:styleId="aff" w:customStyle="1">
    <w:basedOn w:val="TableNormal1"/>
    <w:tblPr>
      <w:tblStyleRowBandSize w:val="1"/>
      <w:tblStyleColBandSize w:val="1"/>
      <w:tblCellMar>
        <w:left w:w="108.0" w:type="dxa"/>
        <w:right w:w="108.0" w:type="dxa"/>
      </w:tblCellMar>
    </w:tblPr>
  </w:style>
  <w:style w:type="table" w:styleId="aff0" w:customStyle="1">
    <w:basedOn w:val="TableNormal1"/>
    <w:pPr>
      <w:widowControl w:val="0"/>
    </w:pPr>
    <w:tblPr>
      <w:tblStyleRowBandSize w:val="1"/>
      <w:tblStyleColBandSize w:val="1"/>
      <w:tblCellMar>
        <w:top w:w="100.0" w:type="dxa"/>
        <w:left w:w="100.0" w:type="dxa"/>
        <w:bottom w:w="100.0" w:type="dxa"/>
        <w:right w:w="100.0" w:type="dxa"/>
      </w:tblCellMar>
    </w:tblPr>
  </w:style>
  <w:style w:type="table" w:styleId="aff1" w:customStyle="1">
    <w:basedOn w:val="TableNormal1"/>
    <w:tblPr>
      <w:tblStyleRowBandSize w:val="1"/>
      <w:tblStyleColBandSize w:val="1"/>
      <w:tblCellMar>
        <w:left w:w="108.0" w:type="dxa"/>
        <w:right w:w="108.0" w:type="dxa"/>
      </w:tblCellMar>
    </w:tblPr>
  </w:style>
  <w:style w:type="table" w:styleId="aff2" w:customStyle="1">
    <w:basedOn w:val="TableNormal1"/>
    <w:tblPr>
      <w:tblStyleRowBandSize w:val="1"/>
      <w:tblStyleColBandSize w:val="1"/>
      <w:tblCellMar>
        <w:left w:w="108.0" w:type="dxa"/>
        <w:right w:w="108.0" w:type="dxa"/>
      </w:tblCellMar>
    </w:tblPr>
  </w:style>
  <w:style w:type="numbering" w:styleId="CurrentList1" w:customStyle="1">
    <w:name w:val="Current List1"/>
    <w:uiPriority w:val="99"/>
    <w:rsid w:val="000E5E7F"/>
    <w:pPr>
      <w:numPr>
        <w:numId w:val="6"/>
      </w:numPr>
    </w:pPr>
  </w:style>
  <w:style w:type="numbering" w:styleId="CurrentList2" w:customStyle="1">
    <w:name w:val="Current List2"/>
    <w:uiPriority w:val="99"/>
    <w:rsid w:val="000E5E7F"/>
    <w:pPr>
      <w:numPr>
        <w:numId w:val="7"/>
      </w:numPr>
    </w:pPr>
  </w:style>
  <w:style w:type="numbering" w:styleId="CurrentList3" w:customStyle="1">
    <w:name w:val="Current List3"/>
    <w:uiPriority w:val="99"/>
    <w:rsid w:val="000E5E7F"/>
    <w:pPr>
      <w:numPr>
        <w:numId w:val="8"/>
      </w:numPr>
    </w:pPr>
  </w:style>
  <w:style w:type="numbering" w:styleId="CurrentList4" w:customStyle="1">
    <w:name w:val="Current List4"/>
    <w:uiPriority w:val="99"/>
    <w:rsid w:val="000E5E7F"/>
    <w:pPr>
      <w:numPr>
        <w:numId w:val="9"/>
      </w:numPr>
    </w:pPr>
  </w:style>
  <w:style w:type="numbering" w:styleId="CurrentList5" w:customStyle="1">
    <w:name w:val="Current List5"/>
    <w:uiPriority w:val="99"/>
    <w:rsid w:val="000E5E7F"/>
    <w:pPr>
      <w:numPr>
        <w:numId w:val="10"/>
      </w:numPr>
    </w:pPr>
  </w:style>
  <w:style w:type="numbering" w:styleId="CurrentList6" w:customStyle="1">
    <w:name w:val="Current List6"/>
    <w:uiPriority w:val="99"/>
    <w:rsid w:val="000E5E7F"/>
    <w:pPr>
      <w:numPr>
        <w:numId w:val="11"/>
      </w:numPr>
    </w:pPr>
  </w:style>
  <w:style w:type="paragraph" w:styleId="Subtitle">
    <w:name w:val="Subtitle"/>
    <w:basedOn w:val="Normal"/>
    <w:next w:val="Normal"/>
    <w:pPr>
      <w:pBdr>
        <w:top w:space="0" w:sz="0" w:val="nil"/>
        <w:left w:space="0" w:sz="0" w:val="nil"/>
        <w:bottom w:space="0" w:sz="0" w:val="nil"/>
        <w:right w:space="0" w:sz="0" w:val="nil"/>
        <w:between w:space="0" w:sz="0" w:val="nil"/>
      </w:pBdr>
      <w:spacing w:after="160" w:lineRule="auto"/>
      <w:jc w:val="left"/>
    </w:pPr>
    <w:rPr>
      <w:color w:val="5a5a5a"/>
    </w:rPr>
  </w:style>
  <w:style w:type="table" w:styleId="Table1">
    <w:basedOn w:val="TableNormal"/>
    <w:pPr>
      <w:widowControl w:val="0"/>
    </w:pPr>
    <w:tblPr>
      <w:tblStyleRowBandSize w:val="1"/>
      <w:tblStyleColBandSize w:val="1"/>
      <w:tblCellMar>
        <w:top w:w="100.0" w:type="dxa"/>
        <w:left w:w="108.0" w:type="dxa"/>
        <w:bottom w:w="100.0" w:type="dxa"/>
        <w:right w:w="108.0" w:type="dxa"/>
      </w:tblCellMar>
    </w:tblPr>
  </w:style>
  <w:style w:type="table" w:styleId="Table2">
    <w:basedOn w:val="TableNormal"/>
    <w:pPr>
      <w:widowControl w:val="0"/>
    </w:pPr>
    <w:tblPr>
      <w:tblStyleRowBandSize w:val="1"/>
      <w:tblStyleColBandSize w:val="1"/>
      <w:tblCellMar>
        <w:top w:w="100.0" w:type="dxa"/>
        <w:left w:w="108.0" w:type="dxa"/>
        <w:bottom w:w="100.0" w:type="dxa"/>
        <w:right w:w="108.0" w:type="dxa"/>
      </w:tblCellMar>
    </w:tblPr>
  </w:style>
  <w:style w:type="table" w:styleId="Table3">
    <w:basedOn w:val="TableNormal"/>
    <w:pPr>
      <w:widowControl w:val="0"/>
    </w:p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edssi.eu/" TargetMode="External"/><Relationship Id="rId11" Type="http://schemas.openxmlformats.org/officeDocument/2006/relationships/hyperlink" Target="https://ec.europa.eu/futurium/en/content/eidas-regulation-regulation-eu-ndeg9102014.html" TargetMode="External"/><Relationship Id="rId10" Type="http://schemas.openxmlformats.org/officeDocument/2006/relationships/hyperlink" Target="https://drive.google.com/file/d/1iqUS43rkQ9v_xeFJLHP2prPRDCIIZMYi/view" TargetMode="External"/><Relationship Id="rId21" Type="http://schemas.openxmlformats.org/officeDocument/2006/relationships/footer" Target="footer3.xml"/><Relationship Id="rId13" Type="http://schemas.openxmlformats.org/officeDocument/2006/relationships/image" Target="media/image4.png"/><Relationship Id="rId12" Type="http://schemas.openxmlformats.org/officeDocument/2006/relationships/hyperlink" Target="https://edusign.sunet.s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1.png"/><Relationship Id="rId15" Type="http://schemas.openxmlformats.org/officeDocument/2006/relationships/header" Target="header2.xml"/><Relationship Id="rId14" Type="http://schemas.openxmlformats.org/officeDocument/2006/relationships/image" Target="media/image2.png"/><Relationship Id="rId17" Type="http://schemas.openxmlformats.org/officeDocument/2006/relationships/footer" Target="footer2.xml"/><Relationship Id="rId16" Type="http://schemas.openxmlformats.org/officeDocument/2006/relationships/header" Target="header1.xml"/><Relationship Id="rId5" Type="http://schemas.openxmlformats.org/officeDocument/2006/relationships/numbering" Target="numbering.xml"/><Relationship Id="rId19" Type="http://schemas.openxmlformats.org/officeDocument/2006/relationships/image" Target="media/image3.png"/><Relationship Id="rId6" Type="http://schemas.openxmlformats.org/officeDocument/2006/relationships/styles" Target="styles.xml"/><Relationship Id="rId18" Type="http://schemas.openxmlformats.org/officeDocument/2006/relationships/footer" Target="footer1.xml"/><Relationship Id="rId7" Type="http://schemas.openxmlformats.org/officeDocument/2006/relationships/customXml" Target="../customXML/item1.xml"/><Relationship Id="rId8" Type="http://schemas.openxmlformats.org/officeDocument/2006/relationships/image" Target="media/image5.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Custom 2">
      <a:dk1>
        <a:srgbClr val="000000"/>
      </a:dk1>
      <a:lt1>
        <a:srgbClr val="FFFFFF"/>
      </a:lt1>
      <a:dk2>
        <a:srgbClr val="44546A"/>
      </a:dk2>
      <a:lt2>
        <a:srgbClr val="E7E6E6"/>
      </a:lt2>
      <a:accent1>
        <a:srgbClr val="1E1A34"/>
      </a:accent1>
      <a:accent2>
        <a:srgbClr val="F1F2EA"/>
      </a:accent2>
      <a:accent3>
        <a:srgbClr val="1CADB8"/>
      </a:accent3>
      <a:accent4>
        <a:srgbClr val="248FB8"/>
      </a:accent4>
      <a:accent5>
        <a:srgbClr val="B97AA1"/>
      </a:accent5>
      <a:accent6>
        <a:srgbClr val="7F207F"/>
      </a:accent6>
      <a:hlink>
        <a:srgbClr val="7E207F"/>
      </a:hlink>
      <a:folHlink>
        <a:srgbClr val="1CADB8"/>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78rzSxugSjGVgKbzGTu4/UucEg==">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2022-08-26T10:09:00Z</dcterms:created>
  <dc:creator>Author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0x0101009757A9D5F1FDA44BBA9E750176BBB479</vt:lpwstr>
  </property>
</Properties>
</file>