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color w:val="1e1a34"/>
          <w:sz w:val="21"/>
          <w:szCs w:val="21"/>
        </w:rPr>
      </w:pPr>
      <w:bookmarkStart w:colFirst="0" w:colLast="0" w:name="_1fob9te" w:id="0"/>
      <w:bookmarkEnd w:id="0"/>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758113" cy="10058400"/>
                <wp:effectExtent b="0" l="0" r="0" t="0"/>
                <wp:wrapNone/>
                <wp:docPr id="1" name=""/>
                <a:graphic>
                  <a:graphicData uri="http://schemas.microsoft.com/office/word/2010/wordprocessingShape">
                    <wps:wsp>
                      <wps:cNvSpPr/>
                      <wps:cNvPr id="2" name="Shape 2"/>
                      <wps:spPr>
                        <a:xfrm>
                          <a:off x="1578441" y="0"/>
                          <a:ext cx="7535119" cy="7560000"/>
                        </a:xfrm>
                        <a:prstGeom prst="rect">
                          <a:avLst/>
                        </a:prstGeom>
                        <a:gradFill>
                          <a:gsLst>
                            <a:gs pos="0">
                              <a:srgbClr val="1BADB8"/>
                            </a:gs>
                            <a:gs pos="100000">
                              <a:schemeClr val="accent6"/>
                            </a:gs>
                          </a:gsLst>
                          <a:lin ang="0" scaled="0"/>
                        </a:gradFill>
                        <a:ln cap="flat" cmpd="sng" w="12700">
                          <a:solidFill>
                            <a:srgbClr val="151225"/>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758113" cy="10058400"/>
                <wp:effectExtent b="0" l="0" r="0" t="0"/>
                <wp:wrapNone/>
                <wp:docPr id="1"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7758113" cy="10058400"/>
                        </a:xfrm>
                        <a:prstGeom prst="rect"/>
                        <a:ln/>
                      </pic:spPr>
                    </pic:pic>
                  </a:graphicData>
                </a:graphic>
              </wp:anchor>
            </w:drawing>
          </mc:Fallback>
        </mc:AlternateContent>
      </w:r>
    </w:p>
    <w:tbl>
      <w:tblPr>
        <w:tblStyle w:val="Table1"/>
        <w:tblW w:w="92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47"/>
        <w:tblGridChange w:id="0">
          <w:tblGrid>
            <w:gridCol w:w="9247"/>
          </w:tblGrid>
        </w:tblGridChange>
      </w:tblGrid>
      <w:tr>
        <w:trPr>
          <w:cantSplit w:val="0"/>
          <w:trHeight w:val="1597" w:hRule="atLeast"/>
          <w:tblHeader w:val="0"/>
        </w:trPr>
        <w:tc>
          <w:tcPr>
            <w:shd w:fill="auto" w:val="clear"/>
            <w:vAlign w:val="center"/>
          </w:tcPr>
          <w:p w:rsidR="00000000" w:rsidDel="00000000" w:rsidP="00000000" w:rsidRDefault="00000000" w:rsidRPr="00000000" w14:paraId="00000002">
            <w:pPr>
              <w:widowControl w:val="0"/>
              <w:spacing w:line="240" w:lineRule="auto"/>
              <w:jc w:val="center"/>
              <w:rPr>
                <w:smallCaps w:val="1"/>
                <w:color w:val="4472c4"/>
                <w:sz w:val="72"/>
                <w:szCs w:val="72"/>
              </w:rPr>
            </w:pPr>
            <w:r w:rsidDel="00000000" w:rsidR="00000000" w:rsidRPr="00000000">
              <w:rPr>
                <w:smallCaps w:val="1"/>
                <w:color w:val="4472c4"/>
                <w:sz w:val="72"/>
                <w:szCs w:val="72"/>
              </w:rPr>
              <w:drawing>
                <wp:inline distB="0" distT="0" distL="0" distR="0">
                  <wp:extent cx="3147177" cy="1139843"/>
                  <wp:effectExtent b="0" l="0" r="0" t="0"/>
                  <wp:docPr descr="Logo&#10;&#10;Description automatically generated" id="2" name="image1.png"/>
                  <a:graphic>
                    <a:graphicData uri="http://schemas.openxmlformats.org/drawingml/2006/picture">
                      <pic:pic>
                        <pic:nvPicPr>
                          <pic:cNvPr descr="Logo&#10;&#10;Description automatically generated" id="0" name="image1.png"/>
                          <pic:cNvPicPr preferRelativeResize="0"/>
                        </pic:nvPicPr>
                        <pic:blipFill>
                          <a:blip r:embed="rId7"/>
                          <a:srcRect b="0" l="0" r="0" t="0"/>
                          <a:stretch>
                            <a:fillRect/>
                          </a:stretch>
                        </pic:blipFill>
                        <pic:spPr>
                          <a:xfrm>
                            <a:off x="0" y="0"/>
                            <a:ext cx="3147177" cy="1139843"/>
                          </a:xfrm>
                          <a:prstGeom prst="rect"/>
                          <a:ln/>
                        </pic:spPr>
                      </pic:pic>
                    </a:graphicData>
                  </a:graphic>
                </wp:inline>
              </w:drawing>
            </w:r>
            <w:r w:rsidDel="00000000" w:rsidR="00000000" w:rsidRPr="00000000">
              <w:rPr>
                <w:rtl w:val="0"/>
              </w:rPr>
            </w:r>
          </w:p>
        </w:tc>
      </w:tr>
      <w:tr>
        <w:trPr>
          <w:cantSplit w:val="0"/>
          <w:trHeight w:val="5085" w:hRule="atLeast"/>
          <w:tblHeader w:val="0"/>
        </w:trPr>
        <w:tc>
          <w:tcPr/>
          <w:p w:rsidR="00000000" w:rsidDel="00000000" w:rsidP="00000000" w:rsidRDefault="00000000" w:rsidRPr="00000000" w14:paraId="00000003">
            <w:pPr>
              <w:widowControl w:val="0"/>
              <w:spacing w:line="240" w:lineRule="auto"/>
              <w:jc w:val="both"/>
              <w:rPr>
                <w:smallCaps w:val="1"/>
                <w:color w:val="4472c4"/>
                <w:sz w:val="72"/>
                <w:szCs w:val="72"/>
              </w:rPr>
            </w:pPr>
            <w:r w:rsidDel="00000000" w:rsidR="00000000" w:rsidRPr="00000000">
              <w:rPr>
                <w:rtl w:val="0"/>
              </w:rPr>
            </w:r>
          </w:p>
        </w:tc>
      </w:tr>
      <w:tr>
        <w:trPr>
          <w:cantSplit w:val="0"/>
          <w:trHeight w:val="1816" w:hRule="atLeast"/>
          <w:tblHeader w:val="0"/>
        </w:trPr>
        <w:tc>
          <w:tcPr>
            <w:tcBorders>
              <w:bottom w:color="7f207f" w:space="0" w:sz="4" w:val="single"/>
            </w:tcBorders>
            <w:vAlign w:val="center"/>
          </w:tcPr>
          <w:p w:rsidR="00000000" w:rsidDel="00000000" w:rsidP="00000000" w:rsidRDefault="00000000" w:rsidRPr="00000000" w14:paraId="00000004">
            <w:pPr>
              <w:pStyle w:val="Title"/>
              <w:widowControl w:val="0"/>
              <w:spacing w:after="0" w:line="240" w:lineRule="auto"/>
              <w:rPr>
                <w:b w:val="1"/>
                <w:color w:val="ffffff"/>
                <w:sz w:val="40"/>
                <w:szCs w:val="40"/>
              </w:rPr>
            </w:pPr>
            <w:r w:rsidDel="00000000" w:rsidR="00000000" w:rsidRPr="00000000">
              <w:rPr>
                <w:b w:val="1"/>
                <w:color w:val="ffffff"/>
                <w:sz w:val="40"/>
                <w:szCs w:val="40"/>
                <w:rtl w:val="0"/>
              </w:rPr>
              <w:t xml:space="preserve">Recommendation report on connecting e-services to the interoperability infrastructure</w:t>
            </w:r>
          </w:p>
          <w:p w:rsidR="00000000" w:rsidDel="00000000" w:rsidP="00000000" w:rsidRDefault="00000000" w:rsidRPr="00000000" w14:paraId="00000005">
            <w:pPr>
              <w:widowControl w:val="0"/>
              <w:spacing w:after="80" w:before="80" w:line="240" w:lineRule="auto"/>
              <w:rPr>
                <w:b w:val="1"/>
                <w:color w:val="ffffff"/>
                <w:sz w:val="28"/>
                <w:szCs w:val="28"/>
              </w:rPr>
            </w:pPr>
            <w:r w:rsidDel="00000000" w:rsidR="00000000" w:rsidRPr="00000000">
              <w:rPr>
                <w:b w:val="1"/>
                <w:color w:val="ffffff"/>
                <w:sz w:val="28"/>
                <w:szCs w:val="28"/>
                <w:rtl w:val="0"/>
              </w:rPr>
              <w:t xml:space="preserve">Kilian KLEIN (EUF)</w:t>
            </w:r>
          </w:p>
          <w:p w:rsidR="00000000" w:rsidDel="00000000" w:rsidP="00000000" w:rsidRDefault="00000000" w:rsidRPr="00000000" w14:paraId="00000006">
            <w:pPr>
              <w:widowControl w:val="0"/>
              <w:spacing w:after="80" w:before="80" w:line="240" w:lineRule="auto"/>
              <w:rPr>
                <w:color w:val="1e1a34"/>
                <w:sz w:val="21"/>
                <w:szCs w:val="21"/>
              </w:rPr>
            </w:pPr>
            <w:r w:rsidDel="00000000" w:rsidR="00000000" w:rsidRPr="00000000">
              <w:rPr>
                <w:color w:val="1e1a34"/>
                <w:sz w:val="28"/>
                <w:szCs w:val="28"/>
                <w:rtl w:val="0"/>
              </w:rPr>
              <w:t xml:space="preserve">14/04/2023</w:t>
            </w:r>
            <w:r w:rsidDel="00000000" w:rsidR="00000000" w:rsidRPr="00000000">
              <w:rPr>
                <w:rtl w:val="0"/>
              </w:rPr>
            </w:r>
          </w:p>
        </w:tc>
      </w:tr>
      <w:tr>
        <w:trPr>
          <w:cantSplit w:val="0"/>
          <w:trHeight w:val="726" w:hRule="atLeast"/>
          <w:tblHeader w:val="0"/>
        </w:trPr>
        <w:tc>
          <w:tcPr>
            <w:tcBorders>
              <w:top w:color="7f207f" w:space="0" w:sz="4" w:val="single"/>
            </w:tcBorders>
            <w:vAlign w:val="center"/>
          </w:tcPr>
          <w:p w:rsidR="00000000" w:rsidDel="00000000" w:rsidP="00000000" w:rsidRDefault="00000000" w:rsidRPr="00000000" w14:paraId="00000007">
            <w:pPr>
              <w:widowControl w:val="0"/>
              <w:spacing w:line="240" w:lineRule="auto"/>
              <w:jc w:val="both"/>
              <w:rPr>
                <w:b w:val="1"/>
                <w:color w:val="1e1a34"/>
                <w:sz w:val="21"/>
                <w:szCs w:val="21"/>
              </w:rPr>
            </w:pPr>
            <w:r w:rsidDel="00000000" w:rsidR="00000000" w:rsidRPr="00000000">
              <w:rPr>
                <w:rtl w:val="0"/>
              </w:rPr>
            </w:r>
          </w:p>
        </w:tc>
      </w:tr>
    </w:tbl>
    <w:p w:rsidR="00000000" w:rsidDel="00000000" w:rsidP="00000000" w:rsidRDefault="00000000" w:rsidRPr="00000000" w14:paraId="00000008">
      <w:pPr>
        <w:spacing w:line="240" w:lineRule="auto"/>
        <w:jc w:val="both"/>
        <w:rPr>
          <w:color w:val="1e1a34"/>
          <w:sz w:val="21"/>
          <w:szCs w:val="21"/>
        </w:rPr>
      </w:pPr>
      <w:r w:rsidDel="00000000" w:rsidR="00000000" w:rsidRPr="00000000">
        <w:rPr>
          <w:rtl w:val="0"/>
        </w:rPr>
      </w:r>
    </w:p>
    <w:p w:rsidR="00000000" w:rsidDel="00000000" w:rsidP="00000000" w:rsidRDefault="00000000" w:rsidRPr="00000000" w14:paraId="00000009">
      <w:pPr>
        <w:pStyle w:val="Title"/>
        <w:spacing w:after="0" w:line="240" w:lineRule="auto"/>
        <w:rPr>
          <w:b w:val="1"/>
          <w:color w:val="00adbc"/>
          <w:sz w:val="40"/>
          <w:szCs w:val="40"/>
        </w:rPr>
      </w:pPr>
      <w:r w:rsidDel="00000000" w:rsidR="00000000" w:rsidRPr="00000000">
        <w:br w:type="page"/>
      </w:r>
      <w:r w:rsidDel="00000000" w:rsidR="00000000" w:rsidRPr="00000000">
        <w:rPr>
          <w:b w:val="1"/>
          <w:color w:val="1cadb8"/>
          <w:sz w:val="40"/>
          <w:szCs w:val="40"/>
          <w:rtl w:val="0"/>
        </w:rPr>
        <w:t xml:space="preserve">Table of Contents</w:t>
      </w:r>
      <w:r w:rsidDel="00000000" w:rsidR="00000000" w:rsidRPr="00000000">
        <w:rPr>
          <w:rtl w:val="0"/>
        </w:rPr>
      </w:r>
    </w:p>
    <w:p w:rsidR="00000000" w:rsidDel="00000000" w:rsidP="00000000" w:rsidRDefault="00000000" w:rsidRPr="00000000" w14:paraId="0000000A">
      <w:pPr>
        <w:spacing w:line="240" w:lineRule="auto"/>
        <w:jc w:val="both"/>
        <w:rPr>
          <w:color w:val="1e1a34"/>
          <w:sz w:val="21"/>
          <w:szCs w:val="21"/>
        </w:rPr>
      </w:pPr>
      <w:r w:rsidDel="00000000" w:rsidR="00000000" w:rsidRPr="00000000">
        <w:rPr>
          <w:rtl w:val="0"/>
        </w:rPr>
      </w:r>
    </w:p>
    <w:p w:rsidR="00000000" w:rsidDel="00000000" w:rsidP="00000000" w:rsidRDefault="00000000" w:rsidRPr="00000000" w14:paraId="0000000B">
      <w:pPr>
        <w:spacing w:line="240" w:lineRule="auto"/>
        <w:jc w:val="both"/>
        <w:rPr>
          <w:color w:val="1e1a34"/>
          <w:sz w:val="21"/>
          <w:szCs w:val="21"/>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29333l8s9sx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Introduction</w:t>
              <w:tab/>
              <w:t xml:space="preserve">0</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z5m85dusz5s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Definition</w:t>
              <w:tab/>
              <w:t xml:space="preserve">0</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ka4h4cs4gbb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How to read this document</w:t>
              <w:tab/>
              <w:t xml:space="preserve">0</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7nrkwuzbf1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The eSignature CEF building block</w:t>
              <w:tab/>
              <w:t xml:space="preserve">1</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q5owtxsvpzr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Compatibility with eIDAS</w:t>
              <w:tab/>
              <w:t xml:space="preserve">1</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jotam1rxf8f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 Authentication via MyAcademicID</w:t>
              <w:tab/>
              <w:t xml:space="preserve">1</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q2qib2hrdhc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 Integration in the OLA platform</w:t>
              <w:tab/>
              <w:t xml:space="preserve">1</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jycd1cvvxw4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 Use of certification authority (CA)</w:t>
              <w:tab/>
              <w:t xml:space="preserve">1</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tg7pbu4u2o5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 Other tools/systems in the interoperability infrastructure that would benefit from the eSignature integration</w:t>
              <w:tab/>
              <w:t xml:space="preserve">1</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t5ty68gjzlo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2.6. Recommendations on eSignature CEF building block usage</w:t>
              <w:tab/>
              <w:t xml:space="preserve">1</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edg1kgq2h78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The eArchive CEF building block</w:t>
              <w:tab/>
              <w:t xml:space="preserve">2</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cnqcrg74lcz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 Integration in the OLA platform</w:t>
              <w:tab/>
              <w:t xml:space="preserve">2</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dhm6zdccsf1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 Compatibility with eIDAS</w:t>
              <w:tab/>
              <w:t xml:space="preserve">2</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x5zl7drswqg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3.3. Other tools/systems in the interoperability infrastructure that would benefit from the eArchive CEF building block integration</w:t>
              <w:tab/>
              <w:t xml:space="preserve">2</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6ybo63ao6lp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3.4. Recommendations on eArchive CEF building block usage</w:t>
              <w:tab/>
              <w:t xml:space="preserve">2</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gdyvhxu7cxf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The eTranslate CEF building block</w:t>
              <w:tab/>
              <w:t xml:space="preserve">3</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9z4rm9hvmq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 Developed proof-of-concept: Drupal CMS</w:t>
              <w:tab/>
              <w:t xml:space="preserve">3</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8shecjjxf9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 Tools/systems in the interoperability infrastructure that would benefit from the eTranslate CEF building block integration</w:t>
              <w:tab/>
              <w:t xml:space="preserve">3</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7on9ywk2ud9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 Recommendations on eTranslate CEF building block usage</w:t>
              <w:tab/>
              <w:t xml:space="preserve">4</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47df9hiod5s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4.3.1. Use case: Translate documents / texts</w:t>
              <w:tab/>
              <w:t xml:space="preserve">4</w:t>
            </w:r>
          </w:hyperlink>
          <w:r w:rsidDel="00000000" w:rsidR="00000000" w:rsidRPr="00000000">
            <w:rPr>
              <w:rtl w:val="0"/>
            </w:rPr>
          </w:r>
        </w:p>
        <w:p w:rsidR="00000000" w:rsidDel="00000000" w:rsidP="00000000" w:rsidRDefault="00000000" w:rsidRPr="00000000" w14:paraId="00000020">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eokq2tdbdnn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4.3.2. Use case: Translate a website</w:t>
              <w:tab/>
              <w:t xml:space="preserve">5</w:t>
            </w:r>
          </w:hyperlink>
          <w:r w:rsidDel="00000000" w:rsidR="00000000" w:rsidRPr="00000000">
            <w:rPr>
              <w:rtl w:val="0"/>
            </w:rPr>
          </w:r>
        </w:p>
        <w:p w:rsidR="00000000" w:rsidDel="00000000" w:rsidP="00000000" w:rsidRDefault="00000000" w:rsidRPr="00000000" w14:paraId="00000021">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dblhi9uutw4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4.3.3. Use case: Translate data templates</w:t>
              <w:tab/>
              <w:t xml:space="preserve">6</w:t>
            </w:r>
          </w:hyperlink>
          <w:r w:rsidDel="00000000" w:rsidR="00000000" w:rsidRPr="00000000">
            <w:rPr>
              <w:rtl w:val="0"/>
            </w:rPr>
          </w:r>
        </w:p>
        <w:p w:rsidR="00000000" w:rsidDel="00000000" w:rsidP="00000000" w:rsidRDefault="00000000" w:rsidRPr="00000000" w14:paraId="00000022">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3p071jko209w">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The student housing web application proof-of-concept</w:t>
              <w:tab/>
              <w:t xml:space="preserve">7</w:t>
            </w:r>
          </w:hyperlink>
          <w:r w:rsidDel="00000000" w:rsidR="00000000" w:rsidRPr="00000000">
            <w:rPr>
              <w:rtl w:val="0"/>
            </w:rPr>
          </w:r>
        </w:p>
        <w:p w:rsidR="00000000" w:rsidDel="00000000" w:rsidP="00000000" w:rsidRDefault="00000000" w:rsidRPr="00000000" w14:paraId="00000023">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ho5ins4cnh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 Compatibility with the Erasmus+ App</w:t>
              <w:tab/>
              <w:t xml:space="preserve">7</w:t>
            </w:r>
          </w:hyperlink>
          <w:r w:rsidDel="00000000" w:rsidR="00000000" w:rsidRPr="00000000">
            <w:rPr>
              <w:rtl w:val="0"/>
            </w:rPr>
          </w:r>
        </w:p>
        <w:p w:rsidR="00000000" w:rsidDel="00000000" w:rsidP="00000000" w:rsidRDefault="00000000" w:rsidRPr="00000000" w14:paraId="00000024">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6ofj05yq0k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 Log in using academic credentials via MyAcademicId</w:t>
              <w:tab/>
              <w:t xml:space="preserve">7</w:t>
            </w:r>
          </w:hyperlink>
          <w:r w:rsidDel="00000000" w:rsidR="00000000" w:rsidRPr="00000000">
            <w:rPr>
              <w:rtl w:val="0"/>
            </w:rPr>
          </w:r>
        </w:p>
        <w:p w:rsidR="00000000" w:rsidDel="00000000" w:rsidP="00000000" w:rsidRDefault="00000000" w:rsidRPr="00000000" w14:paraId="00000025">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e66bor3j1j8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5.3. Sign contract using eSignature</w:t>
              <w:tab/>
              <w:t xml:space="preserve">7</w:t>
            </w:r>
          </w:hyperlink>
          <w:r w:rsidDel="00000000" w:rsidR="00000000" w:rsidRPr="00000000">
            <w:rPr>
              <w:rtl w:val="0"/>
            </w:rPr>
          </w:r>
        </w:p>
        <w:p w:rsidR="00000000" w:rsidDel="00000000" w:rsidP="00000000" w:rsidRDefault="00000000" w:rsidRPr="00000000" w14:paraId="00000026">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x951h4l04lp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5.4. Recommendations on usage of the student housing web application proof-of-concept</w:t>
              <w:tab/>
              <w:t xml:space="preserve">8</w:t>
            </w:r>
          </w:hyperlink>
          <w:r w:rsidDel="00000000" w:rsidR="00000000" w:rsidRPr="00000000">
            <w:rPr>
              <w:rtl w:val="0"/>
            </w:rPr>
          </w:r>
        </w:p>
        <w:p w:rsidR="00000000" w:rsidDel="00000000" w:rsidP="00000000" w:rsidRDefault="00000000" w:rsidRPr="00000000" w14:paraId="00000027">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exz6b2ln9j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completed after reading specs / documentation of the housing PoC</w:t>
              <w:tab/>
              <w:t xml:space="preserve">8</w:t>
            </w:r>
          </w:hyperlink>
          <w:r w:rsidDel="00000000" w:rsidR="00000000" w:rsidRPr="00000000">
            <w:rPr>
              <w:rtl w:val="0"/>
            </w:rPr>
          </w:r>
        </w:p>
        <w:p w:rsidR="00000000" w:rsidDel="00000000" w:rsidP="00000000" w:rsidRDefault="00000000" w:rsidRPr="00000000" w14:paraId="0000002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xo6kk9jnx6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Activity 1’s eCard app</w:t>
              <w:tab/>
              <w:t xml:space="preserve">9</w:t>
            </w:r>
          </w:hyperlink>
          <w:r w:rsidDel="00000000" w:rsidR="00000000" w:rsidRPr="00000000">
            <w:rPr>
              <w:rtl w:val="0"/>
            </w:rPr>
          </w:r>
        </w:p>
        <w:p w:rsidR="00000000" w:rsidDel="00000000" w:rsidP="00000000" w:rsidRDefault="00000000" w:rsidRPr="00000000" w14:paraId="00000029">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a2k63uo337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6.1. Compatibility with eIDAS</w:t>
              <w:tab/>
              <w:t xml:space="preserve">9</w:t>
            </w:r>
          </w:hyperlink>
          <w:r w:rsidDel="00000000" w:rsidR="00000000" w:rsidRPr="00000000">
            <w:rPr>
              <w:rtl w:val="0"/>
            </w:rPr>
          </w:r>
        </w:p>
        <w:p w:rsidR="00000000" w:rsidDel="00000000" w:rsidP="00000000" w:rsidRDefault="00000000" w:rsidRPr="00000000" w14:paraId="0000002A">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c1xexpd35np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6.2. Recommendations on eCard app usage</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B">
      <w:pPr>
        <w:spacing w:line="240" w:lineRule="auto"/>
        <w:jc w:val="both"/>
        <w:rPr>
          <w:color w:val="1e1a34"/>
          <w:sz w:val="21"/>
          <w:szCs w:val="21"/>
        </w:rPr>
      </w:pPr>
      <w:r w:rsidDel="00000000" w:rsidR="00000000" w:rsidRPr="00000000">
        <w:rPr>
          <w:rtl w:val="0"/>
        </w:rPr>
      </w:r>
    </w:p>
    <w:p w:rsidR="00000000" w:rsidDel="00000000" w:rsidP="00000000" w:rsidRDefault="00000000" w:rsidRPr="00000000" w14:paraId="0000002C">
      <w:pPr>
        <w:keepNext w:val="1"/>
        <w:keepLines w:val="1"/>
        <w:spacing w:line="240" w:lineRule="auto"/>
        <w:rPr>
          <w:color w:val="1e1a34"/>
          <w:sz w:val="21"/>
          <w:szCs w:val="21"/>
        </w:rPr>
        <w:sectPr>
          <w:pgSz w:h="15840" w:w="12240" w:orient="portrait"/>
          <w:pgMar w:bottom="1440" w:top="1440" w:left="1440" w:right="1440" w:header="720" w:footer="720"/>
          <w:pgNumType w:start="1"/>
        </w:sectPr>
      </w:pPr>
      <w:bookmarkStart w:colFirst="0" w:colLast="0" w:name="_3x904uqu262s" w:id="1"/>
      <w:bookmarkEnd w:id="1"/>
      <w:r w:rsidDel="00000000" w:rsidR="00000000" w:rsidRPr="00000000">
        <w:rPr>
          <w:rtl w:val="0"/>
        </w:rPr>
      </w:r>
    </w:p>
    <w:p w:rsidR="00000000" w:rsidDel="00000000" w:rsidP="00000000" w:rsidRDefault="00000000" w:rsidRPr="00000000" w14:paraId="0000002D">
      <w:pPr>
        <w:pStyle w:val="Heading1"/>
        <w:keepNext w:val="0"/>
        <w:keepLines w:val="0"/>
        <w:numPr>
          <w:ilvl w:val="0"/>
          <w:numId w:val="3"/>
        </w:numPr>
        <w:spacing w:after="0" w:before="0" w:line="240" w:lineRule="auto"/>
        <w:ind w:left="360"/>
        <w:rPr>
          <w:b w:val="1"/>
          <w:color w:val="1cadb8"/>
          <w:sz w:val="32"/>
          <w:szCs w:val="32"/>
        </w:rPr>
      </w:pPr>
      <w:bookmarkStart w:colFirst="0" w:colLast="0" w:name="_29333l8s9sxl" w:id="2"/>
      <w:bookmarkEnd w:id="2"/>
      <w:r w:rsidDel="00000000" w:rsidR="00000000" w:rsidRPr="00000000">
        <w:rPr>
          <w:b w:val="1"/>
          <w:color w:val="1cadb8"/>
          <w:sz w:val="32"/>
          <w:szCs w:val="32"/>
          <w:rtl w:val="0"/>
        </w:rPr>
        <w:t xml:space="preserve">Introduction</w:t>
      </w:r>
    </w:p>
    <w:p w:rsidR="00000000" w:rsidDel="00000000" w:rsidP="00000000" w:rsidRDefault="00000000" w:rsidRPr="00000000" w14:paraId="0000002E">
      <w:pPr>
        <w:spacing w:line="240" w:lineRule="auto"/>
        <w:jc w:val="both"/>
        <w:rPr>
          <w:color w:val="7f207f"/>
          <w:sz w:val="21"/>
          <w:szCs w:val="21"/>
        </w:rPr>
      </w:pPr>
      <w:r w:rsidDel="00000000" w:rsidR="00000000" w:rsidRPr="00000000">
        <w:rPr>
          <w:rtl w:val="0"/>
        </w:rPr>
      </w:r>
    </w:p>
    <w:p w:rsidR="00000000" w:rsidDel="00000000" w:rsidP="00000000" w:rsidRDefault="00000000" w:rsidRPr="00000000" w14:paraId="0000002F">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z5m85dusz5sq" w:id="3"/>
      <w:bookmarkEnd w:id="3"/>
      <w:r w:rsidDel="00000000" w:rsidR="00000000" w:rsidRPr="00000000">
        <w:rPr>
          <w:color w:val="7f207f"/>
          <w:sz w:val="28"/>
          <w:szCs w:val="28"/>
          <w:rtl w:val="0"/>
        </w:rPr>
        <w:t xml:space="preserve">Definition</w:t>
      </w:r>
    </w:p>
    <w:p w:rsidR="00000000" w:rsidDel="00000000" w:rsidP="00000000" w:rsidRDefault="00000000" w:rsidRPr="00000000" w14:paraId="00000030">
      <w:pPr>
        <w:rPr/>
      </w:pPr>
      <w:r w:rsidDel="00000000" w:rsidR="00000000" w:rsidRPr="00000000">
        <w:rPr>
          <w:rtl w:val="0"/>
        </w:rPr>
        <w:t xml:space="preserve">The term “</w:t>
      </w:r>
      <w:r w:rsidDel="00000000" w:rsidR="00000000" w:rsidRPr="00000000">
        <w:rPr>
          <w:b w:val="1"/>
          <w:rtl w:val="0"/>
        </w:rPr>
        <w:t xml:space="preserve">interoperability infrastructure</w:t>
      </w:r>
      <w:r w:rsidDel="00000000" w:rsidR="00000000" w:rsidRPr="00000000">
        <w:rPr>
          <w:rtl w:val="0"/>
        </w:rPr>
        <w:t xml:space="preserve">” must be understood as the broad notion of “every digital infrastructure or tool related to the management of student mobility”.</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For example, this definition matches:</w:t>
      </w:r>
    </w:p>
    <w:p w:rsidR="00000000" w:rsidDel="00000000" w:rsidP="00000000" w:rsidRDefault="00000000" w:rsidRPr="00000000" w14:paraId="00000033">
      <w:pPr>
        <w:numPr>
          <w:ilvl w:val="0"/>
          <w:numId w:val="7"/>
        </w:numPr>
        <w:ind w:left="720" w:hanging="360"/>
      </w:pPr>
      <w:r w:rsidDel="00000000" w:rsidR="00000000" w:rsidRPr="00000000">
        <w:rPr>
          <w:rtl w:val="0"/>
        </w:rPr>
        <w:t xml:space="preserve">the </w:t>
      </w:r>
      <w:r w:rsidDel="00000000" w:rsidR="00000000" w:rsidRPr="00000000">
        <w:rPr>
          <w:i w:val="1"/>
          <w:rtl w:val="0"/>
        </w:rPr>
        <w:t xml:space="preserve">EWP network,</w:t>
      </w:r>
      <w:r w:rsidDel="00000000" w:rsidR="00000000" w:rsidRPr="00000000">
        <w:rPr>
          <w:rtl w:val="0"/>
        </w:rPr>
      </w:r>
    </w:p>
    <w:p w:rsidR="00000000" w:rsidDel="00000000" w:rsidP="00000000" w:rsidRDefault="00000000" w:rsidRPr="00000000" w14:paraId="00000034">
      <w:pPr>
        <w:numPr>
          <w:ilvl w:val="0"/>
          <w:numId w:val="7"/>
        </w:numPr>
        <w:ind w:left="720" w:hanging="360"/>
      </w:pPr>
      <w:r w:rsidDel="00000000" w:rsidR="00000000" w:rsidRPr="00000000">
        <w:rPr>
          <w:rtl w:val="0"/>
        </w:rPr>
        <w:t xml:space="preserve">the </w:t>
      </w:r>
      <w:r w:rsidDel="00000000" w:rsidR="00000000" w:rsidRPr="00000000">
        <w:rPr>
          <w:i w:val="1"/>
          <w:rtl w:val="0"/>
        </w:rPr>
        <w:t xml:space="preserve">OLA platform</w:t>
      </w:r>
      <w:r w:rsidDel="00000000" w:rsidR="00000000" w:rsidRPr="00000000">
        <w:rPr>
          <w:rtl w:val="0"/>
        </w:rPr>
        <w:t xml:space="preserve">,</w:t>
      </w:r>
    </w:p>
    <w:p w:rsidR="00000000" w:rsidDel="00000000" w:rsidP="00000000" w:rsidRDefault="00000000" w:rsidRPr="00000000" w14:paraId="00000035">
      <w:pPr>
        <w:numPr>
          <w:ilvl w:val="0"/>
          <w:numId w:val="7"/>
        </w:numPr>
        <w:ind w:left="720" w:hanging="360"/>
      </w:pPr>
      <w:r w:rsidDel="00000000" w:rsidR="00000000" w:rsidRPr="00000000">
        <w:rPr>
          <w:rtl w:val="0"/>
        </w:rPr>
        <w:t xml:space="preserve">the </w:t>
      </w:r>
      <w:r w:rsidDel="00000000" w:rsidR="00000000" w:rsidRPr="00000000">
        <w:rPr>
          <w:i w:val="1"/>
          <w:rtl w:val="0"/>
        </w:rPr>
        <w:t xml:space="preserve">Erasmus+ Dashboard,</w:t>
      </w:r>
    </w:p>
    <w:p w:rsidR="00000000" w:rsidDel="00000000" w:rsidP="00000000" w:rsidRDefault="00000000" w:rsidRPr="00000000" w14:paraId="00000036">
      <w:pPr>
        <w:numPr>
          <w:ilvl w:val="0"/>
          <w:numId w:val="7"/>
        </w:numPr>
        <w:ind w:left="720" w:hanging="360"/>
        <w:rPr>
          <w:i w:val="1"/>
        </w:rPr>
      </w:pPr>
      <w:r w:rsidDel="00000000" w:rsidR="00000000" w:rsidRPr="00000000">
        <w:rPr>
          <w:i w:val="1"/>
          <w:rtl w:val="0"/>
        </w:rPr>
        <w:t xml:space="preserve">MyAcademicID</w:t>
      </w:r>
    </w:p>
    <w:p w:rsidR="00000000" w:rsidDel="00000000" w:rsidP="00000000" w:rsidRDefault="00000000" w:rsidRPr="00000000" w14:paraId="00000037">
      <w:pPr>
        <w:numPr>
          <w:ilvl w:val="0"/>
          <w:numId w:val="7"/>
        </w:numPr>
        <w:ind w:left="720" w:hanging="360"/>
      </w:pPr>
      <w:r w:rsidDel="00000000" w:rsidR="00000000" w:rsidRPr="00000000">
        <w:rPr>
          <w:rtl w:val="0"/>
        </w:rPr>
        <w:t xml:space="preserve">and the </w:t>
      </w:r>
      <w:r w:rsidDel="00000000" w:rsidR="00000000" w:rsidRPr="00000000">
        <w:rPr>
          <w:i w:val="1"/>
          <w:rtl w:val="0"/>
        </w:rPr>
        <w:t xml:space="preserve">Erasmus+ App</w:t>
      </w:r>
      <w:r w:rsidDel="00000000" w:rsidR="00000000" w:rsidRPr="00000000">
        <w:rPr>
          <w:rtl w:val="0"/>
        </w:rPr>
        <w:t xml:space="preserve">.</w:t>
      </w:r>
    </w:p>
    <w:p w:rsidR="00000000" w:rsidDel="00000000" w:rsidP="00000000" w:rsidRDefault="00000000" w:rsidRPr="00000000" w14:paraId="00000038">
      <w:pPr>
        <w:spacing w:line="240" w:lineRule="auto"/>
        <w:jc w:val="both"/>
        <w:rPr>
          <w:color w:val="7f207f"/>
          <w:sz w:val="21"/>
          <w:szCs w:val="21"/>
        </w:rPr>
      </w:pPr>
      <w:r w:rsidDel="00000000" w:rsidR="00000000" w:rsidRPr="00000000">
        <w:rPr>
          <w:rtl w:val="0"/>
        </w:rPr>
      </w:r>
    </w:p>
    <w:p w:rsidR="00000000" w:rsidDel="00000000" w:rsidP="00000000" w:rsidRDefault="00000000" w:rsidRPr="00000000" w14:paraId="00000039">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ka4h4cs4gbb2" w:id="4"/>
      <w:bookmarkEnd w:id="4"/>
      <w:r w:rsidDel="00000000" w:rsidR="00000000" w:rsidRPr="00000000">
        <w:rPr>
          <w:color w:val="7f207f"/>
          <w:sz w:val="28"/>
          <w:szCs w:val="28"/>
          <w:rtl w:val="0"/>
        </w:rPr>
        <w:t xml:space="preserve">How to read this document</w:t>
      </w:r>
    </w:p>
    <w:p w:rsidR="00000000" w:rsidDel="00000000" w:rsidP="00000000" w:rsidRDefault="00000000" w:rsidRPr="00000000" w14:paraId="0000003A">
      <w:pPr>
        <w:rPr/>
      </w:pPr>
      <w:r w:rsidDel="00000000" w:rsidR="00000000" w:rsidRPr="00000000">
        <w:rPr>
          <w:rtl w:val="0"/>
        </w:rPr>
        <w:t xml:space="preserve">This document presents how the different e-services, developed or analyzed during the EDSSI L2 project, have used the interoperability infrastructure and offers recommendations on how other parts of the interoperability could use those e-services.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This document is based on the findings and deliverables of other tasks and activities from the EDSSI L2 project and as such, will only provide brief explanations of what each e-service is and how they function. For more detailed information on each e-service, please refer to their respective documentation.</w:t>
      </w:r>
    </w:p>
    <w:p w:rsidR="00000000" w:rsidDel="00000000" w:rsidP="00000000" w:rsidRDefault="00000000" w:rsidRPr="00000000" w14:paraId="0000003D">
      <w:pPr>
        <w:rPr/>
      </w:pPr>
      <w:r w:rsidDel="00000000" w:rsidR="00000000" w:rsidRPr="00000000">
        <w:rPr>
          <w:rtl w:val="0"/>
        </w:rPr>
        <w:t xml:space="preserve"> </w:t>
      </w:r>
    </w:p>
    <w:p w:rsidR="00000000" w:rsidDel="00000000" w:rsidP="00000000" w:rsidRDefault="00000000" w:rsidRPr="00000000" w14:paraId="0000003E">
      <w:pPr>
        <w:pStyle w:val="Heading1"/>
        <w:keepNext w:val="0"/>
        <w:keepLines w:val="0"/>
        <w:spacing w:after="0" w:before="0" w:line="240" w:lineRule="auto"/>
        <w:rPr>
          <w:b w:val="1"/>
          <w:color w:val="1cadb8"/>
          <w:sz w:val="32"/>
          <w:szCs w:val="32"/>
        </w:rPr>
      </w:pPr>
      <w:bookmarkStart w:colFirst="0" w:colLast="0" w:name="_uleblx9e41rq" w:id="5"/>
      <w:bookmarkEnd w:id="5"/>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1"/>
        <w:keepNext w:val="0"/>
        <w:keepLines w:val="0"/>
        <w:numPr>
          <w:ilvl w:val="0"/>
          <w:numId w:val="3"/>
        </w:numPr>
        <w:spacing w:after="0" w:before="0" w:line="240" w:lineRule="auto"/>
        <w:ind w:left="360"/>
        <w:rPr>
          <w:b w:val="1"/>
          <w:color w:val="1cadb8"/>
          <w:sz w:val="32"/>
          <w:szCs w:val="32"/>
        </w:rPr>
      </w:pPr>
      <w:bookmarkStart w:colFirst="0" w:colLast="0" w:name="_87nrkwuzbf1x" w:id="6"/>
      <w:bookmarkEnd w:id="6"/>
      <w:r w:rsidDel="00000000" w:rsidR="00000000" w:rsidRPr="00000000">
        <w:rPr>
          <w:b w:val="1"/>
          <w:color w:val="1cadb8"/>
          <w:sz w:val="32"/>
          <w:szCs w:val="32"/>
          <w:rtl w:val="0"/>
        </w:rPr>
        <w:t xml:space="preserve">The eSignature CEF building block</w:t>
      </w:r>
    </w:p>
    <w:p w:rsidR="00000000" w:rsidDel="00000000" w:rsidP="00000000" w:rsidRDefault="00000000" w:rsidRPr="00000000" w14:paraId="00000040">
      <w:pPr>
        <w:pStyle w:val="Heading2"/>
        <w:keepNext w:val="0"/>
        <w:keepLines w:val="0"/>
        <w:spacing w:after="0" w:before="0" w:line="240" w:lineRule="auto"/>
        <w:jc w:val="both"/>
        <w:rPr/>
      </w:pPr>
      <w:bookmarkStart w:colFirst="0" w:colLast="0" w:name="_f7q3odr4ripr" w:id="7"/>
      <w:bookmarkEnd w:id="7"/>
      <w:r w:rsidDel="00000000" w:rsidR="00000000" w:rsidRPr="00000000">
        <w:rPr>
          <w:rtl w:val="0"/>
        </w:rPr>
      </w:r>
    </w:p>
    <w:p w:rsidR="00000000" w:rsidDel="00000000" w:rsidP="00000000" w:rsidRDefault="00000000" w:rsidRPr="00000000" w14:paraId="00000041">
      <w:pPr>
        <w:rPr/>
      </w:pPr>
      <w:r w:rsidDel="00000000" w:rsidR="00000000" w:rsidRPr="00000000">
        <w:rPr>
          <w:i w:val="1"/>
          <w:color w:val="666666"/>
          <w:rtl w:val="0"/>
        </w:rPr>
        <w:t xml:space="preserve">Based on Task 2.1’s “</w:t>
      </w:r>
      <w:hyperlink r:id="rId8">
        <w:r w:rsidDel="00000000" w:rsidR="00000000" w:rsidRPr="00000000">
          <w:rPr>
            <w:i w:val="1"/>
            <w:color w:val="1155cc"/>
            <w:u w:val="single"/>
            <w:rtl w:val="0"/>
          </w:rPr>
          <w:t xml:space="preserve">Updated requirements analysis report</w:t>
        </w:r>
      </w:hyperlink>
      <w:r w:rsidDel="00000000" w:rsidR="00000000" w:rsidRPr="00000000">
        <w:rPr>
          <w:i w:val="1"/>
          <w:color w:val="666666"/>
          <w:rtl w:val="0"/>
        </w:rPr>
        <w:t xml:space="preserve">” and … .</w:t>
      </w:r>
      <w:r w:rsidDel="00000000" w:rsidR="00000000" w:rsidRPr="00000000">
        <w:rPr>
          <w:rtl w:val="0"/>
        </w:rPr>
      </w:r>
    </w:p>
    <w:p w:rsidR="00000000" w:rsidDel="00000000" w:rsidP="00000000" w:rsidRDefault="00000000" w:rsidRPr="00000000" w14:paraId="00000042">
      <w:pPr>
        <w:rPr>
          <w:color w:val="7f207f"/>
          <w:sz w:val="21"/>
          <w:szCs w:val="21"/>
        </w:rPr>
      </w:pPr>
      <w:r w:rsidDel="00000000" w:rsidR="00000000" w:rsidRPr="00000000">
        <w:rPr>
          <w:color w:val="e69138"/>
          <w:rtl w:val="0"/>
        </w:rPr>
        <w:t xml:space="preserve">To be completed as the reports for eSignature service is not available in the drive yet and no mention of the actual integration of the OLA is available yet.</w:t>
      </w:r>
      <w:r w:rsidDel="00000000" w:rsidR="00000000" w:rsidRPr="00000000">
        <w:rPr>
          <w:rtl w:val="0"/>
        </w:rPr>
      </w:r>
    </w:p>
    <w:p w:rsidR="00000000" w:rsidDel="00000000" w:rsidP="00000000" w:rsidRDefault="00000000" w:rsidRPr="00000000" w14:paraId="00000043">
      <w:pPr>
        <w:pStyle w:val="Heading3"/>
        <w:keepNext w:val="0"/>
        <w:keepLines w:val="0"/>
        <w:numPr>
          <w:ilvl w:val="1"/>
          <w:numId w:val="3"/>
        </w:numPr>
        <w:spacing w:after="0" w:before="0" w:line="240" w:lineRule="auto"/>
        <w:ind w:left="792" w:hanging="432"/>
        <w:jc w:val="both"/>
        <w:rPr>
          <w:color w:val="7f207f"/>
          <w:sz w:val="32"/>
          <w:szCs w:val="32"/>
        </w:rPr>
      </w:pPr>
      <w:bookmarkStart w:colFirst="0" w:colLast="0" w:name="_q5owtxsvpzr4" w:id="8"/>
      <w:bookmarkEnd w:id="8"/>
      <w:r w:rsidDel="00000000" w:rsidR="00000000" w:rsidRPr="00000000">
        <w:rPr>
          <w:color w:val="7f207f"/>
          <w:rtl w:val="0"/>
        </w:rPr>
        <w:t xml:space="preserve">Compatibility with eIDAS</w:t>
      </w:r>
    </w:p>
    <w:p w:rsidR="00000000" w:rsidDel="00000000" w:rsidP="00000000" w:rsidRDefault="00000000" w:rsidRPr="00000000" w14:paraId="00000044">
      <w:pPr>
        <w:rPr>
          <w:color w:val="e69138"/>
        </w:rPr>
      </w:pPr>
      <w:r w:rsidDel="00000000" w:rsidR="00000000" w:rsidRPr="00000000">
        <w:rPr>
          <w:color w:val="e69138"/>
          <w:rtl w:val="0"/>
        </w:rPr>
        <w:t xml:space="preserve">To be completed…</w:t>
      </w:r>
    </w:p>
    <w:p w:rsidR="00000000" w:rsidDel="00000000" w:rsidP="00000000" w:rsidRDefault="00000000" w:rsidRPr="00000000" w14:paraId="00000045">
      <w:pPr>
        <w:rPr>
          <w:color w:val="e69138"/>
        </w:rPr>
      </w:pPr>
      <w:r w:rsidDel="00000000" w:rsidR="00000000" w:rsidRPr="00000000">
        <w:rPr>
          <w:rtl w:val="0"/>
        </w:rPr>
      </w:r>
    </w:p>
    <w:p w:rsidR="00000000" w:rsidDel="00000000" w:rsidP="00000000" w:rsidRDefault="00000000" w:rsidRPr="00000000" w14:paraId="00000046">
      <w:pPr>
        <w:pStyle w:val="Heading3"/>
        <w:keepNext w:val="0"/>
        <w:keepLines w:val="0"/>
        <w:numPr>
          <w:ilvl w:val="1"/>
          <w:numId w:val="3"/>
        </w:numPr>
        <w:spacing w:after="0" w:before="0" w:line="240" w:lineRule="auto"/>
        <w:ind w:left="792" w:hanging="432"/>
        <w:jc w:val="both"/>
        <w:rPr>
          <w:color w:val="7f207f"/>
          <w:sz w:val="32"/>
          <w:szCs w:val="32"/>
        </w:rPr>
      </w:pPr>
      <w:bookmarkStart w:colFirst="0" w:colLast="0" w:name="_jotam1rxf8fb" w:id="9"/>
      <w:bookmarkEnd w:id="9"/>
      <w:r w:rsidDel="00000000" w:rsidR="00000000" w:rsidRPr="00000000">
        <w:rPr>
          <w:color w:val="7f207f"/>
          <w:rtl w:val="0"/>
        </w:rPr>
        <w:t xml:space="preserve">Authentication via MyAcademicID</w:t>
      </w:r>
    </w:p>
    <w:p w:rsidR="00000000" w:rsidDel="00000000" w:rsidP="00000000" w:rsidRDefault="00000000" w:rsidRPr="00000000" w14:paraId="00000047">
      <w:pPr>
        <w:rPr>
          <w:color w:val="e69138"/>
        </w:rPr>
      </w:pPr>
      <w:r w:rsidDel="00000000" w:rsidR="00000000" w:rsidRPr="00000000">
        <w:rPr>
          <w:color w:val="e69138"/>
          <w:rtl w:val="0"/>
        </w:rPr>
        <w:t xml:space="preserve">To be completed…</w:t>
      </w:r>
    </w:p>
    <w:p w:rsidR="00000000" w:rsidDel="00000000" w:rsidP="00000000" w:rsidRDefault="00000000" w:rsidRPr="00000000" w14:paraId="00000048">
      <w:pPr>
        <w:rPr>
          <w:color w:val="e69138"/>
        </w:rPr>
      </w:pPr>
      <w:r w:rsidDel="00000000" w:rsidR="00000000" w:rsidRPr="00000000">
        <w:rPr>
          <w:rtl w:val="0"/>
        </w:rPr>
      </w:r>
    </w:p>
    <w:p w:rsidR="00000000" w:rsidDel="00000000" w:rsidP="00000000" w:rsidRDefault="00000000" w:rsidRPr="00000000" w14:paraId="00000049">
      <w:pPr>
        <w:pStyle w:val="Heading3"/>
        <w:keepNext w:val="0"/>
        <w:keepLines w:val="0"/>
        <w:numPr>
          <w:ilvl w:val="1"/>
          <w:numId w:val="3"/>
        </w:numPr>
        <w:spacing w:after="0" w:before="0" w:line="240" w:lineRule="auto"/>
        <w:ind w:left="792" w:hanging="432"/>
        <w:jc w:val="both"/>
        <w:rPr>
          <w:color w:val="7f207f"/>
          <w:sz w:val="32"/>
          <w:szCs w:val="32"/>
        </w:rPr>
      </w:pPr>
      <w:bookmarkStart w:colFirst="0" w:colLast="0" w:name="_q2qib2hrdhcn" w:id="10"/>
      <w:bookmarkEnd w:id="10"/>
      <w:r w:rsidDel="00000000" w:rsidR="00000000" w:rsidRPr="00000000">
        <w:rPr>
          <w:color w:val="7f207f"/>
          <w:rtl w:val="0"/>
        </w:rPr>
        <w:t xml:space="preserve">Integration in the OLA platform</w:t>
      </w:r>
    </w:p>
    <w:p w:rsidR="00000000" w:rsidDel="00000000" w:rsidP="00000000" w:rsidRDefault="00000000" w:rsidRPr="00000000" w14:paraId="0000004A">
      <w:pPr>
        <w:rPr>
          <w:color w:val="e69138"/>
        </w:rPr>
      </w:pPr>
      <w:r w:rsidDel="00000000" w:rsidR="00000000" w:rsidRPr="00000000">
        <w:rPr>
          <w:color w:val="e69138"/>
          <w:rtl w:val="0"/>
        </w:rPr>
        <w:t xml:space="preserve">To be completed…</w:t>
      </w:r>
    </w:p>
    <w:p w:rsidR="00000000" w:rsidDel="00000000" w:rsidP="00000000" w:rsidRDefault="00000000" w:rsidRPr="00000000" w14:paraId="0000004B">
      <w:pPr>
        <w:rPr>
          <w:color w:val="e69138"/>
        </w:rPr>
      </w:pPr>
      <w:r w:rsidDel="00000000" w:rsidR="00000000" w:rsidRPr="00000000">
        <w:rPr>
          <w:rtl w:val="0"/>
        </w:rPr>
      </w:r>
    </w:p>
    <w:p w:rsidR="00000000" w:rsidDel="00000000" w:rsidP="00000000" w:rsidRDefault="00000000" w:rsidRPr="00000000" w14:paraId="0000004C">
      <w:pPr>
        <w:pStyle w:val="Heading3"/>
        <w:keepNext w:val="0"/>
        <w:keepLines w:val="0"/>
        <w:numPr>
          <w:ilvl w:val="1"/>
          <w:numId w:val="3"/>
        </w:numPr>
        <w:spacing w:after="0" w:before="0" w:line="240" w:lineRule="auto"/>
        <w:ind w:left="792" w:hanging="432"/>
        <w:jc w:val="both"/>
        <w:rPr>
          <w:color w:val="7f207f"/>
          <w:sz w:val="32"/>
          <w:szCs w:val="32"/>
        </w:rPr>
      </w:pPr>
      <w:bookmarkStart w:colFirst="0" w:colLast="0" w:name="_jycd1cvvxw4z" w:id="11"/>
      <w:bookmarkEnd w:id="11"/>
      <w:r w:rsidDel="00000000" w:rsidR="00000000" w:rsidRPr="00000000">
        <w:rPr>
          <w:color w:val="7f207f"/>
          <w:rtl w:val="0"/>
        </w:rPr>
        <w:t xml:space="preserve">Use of certification authority (CA)</w:t>
      </w:r>
    </w:p>
    <w:p w:rsidR="00000000" w:rsidDel="00000000" w:rsidP="00000000" w:rsidRDefault="00000000" w:rsidRPr="00000000" w14:paraId="0000004D">
      <w:pPr>
        <w:rPr>
          <w:color w:val="e69138"/>
        </w:rPr>
      </w:pPr>
      <w:r w:rsidDel="00000000" w:rsidR="00000000" w:rsidRPr="00000000">
        <w:rPr>
          <w:color w:val="e69138"/>
          <w:rtl w:val="0"/>
        </w:rPr>
        <w:t xml:space="preserve">To be completed…</w:t>
      </w:r>
    </w:p>
    <w:p w:rsidR="00000000" w:rsidDel="00000000" w:rsidP="00000000" w:rsidRDefault="00000000" w:rsidRPr="00000000" w14:paraId="0000004E">
      <w:pPr>
        <w:rPr>
          <w:color w:val="e69138"/>
        </w:rPr>
      </w:pPr>
      <w:r w:rsidDel="00000000" w:rsidR="00000000" w:rsidRPr="00000000">
        <w:rPr>
          <w:rtl w:val="0"/>
        </w:rPr>
      </w:r>
    </w:p>
    <w:p w:rsidR="00000000" w:rsidDel="00000000" w:rsidP="00000000" w:rsidRDefault="00000000" w:rsidRPr="00000000" w14:paraId="0000004F">
      <w:pPr>
        <w:pStyle w:val="Heading3"/>
        <w:keepNext w:val="0"/>
        <w:keepLines w:val="0"/>
        <w:numPr>
          <w:ilvl w:val="1"/>
          <w:numId w:val="3"/>
        </w:numPr>
        <w:spacing w:after="0" w:before="0" w:line="240" w:lineRule="auto"/>
        <w:ind w:left="792" w:hanging="432"/>
        <w:jc w:val="both"/>
        <w:rPr>
          <w:color w:val="7f207f"/>
          <w:sz w:val="32"/>
          <w:szCs w:val="32"/>
        </w:rPr>
      </w:pPr>
      <w:bookmarkStart w:colFirst="0" w:colLast="0" w:name="_tg7pbu4u2o5c" w:id="12"/>
      <w:bookmarkEnd w:id="12"/>
      <w:r w:rsidDel="00000000" w:rsidR="00000000" w:rsidRPr="00000000">
        <w:rPr>
          <w:color w:val="7f207f"/>
          <w:rtl w:val="0"/>
        </w:rPr>
        <w:t xml:space="preserve">Other tools/systems in the interoperability infrastructure that would benefit from the eSignature integration</w:t>
      </w:r>
    </w:p>
    <w:p w:rsidR="00000000" w:rsidDel="00000000" w:rsidP="00000000" w:rsidRDefault="00000000" w:rsidRPr="00000000" w14:paraId="00000050">
      <w:pPr>
        <w:rPr>
          <w:color w:val="e69138"/>
        </w:rPr>
      </w:pPr>
      <w:r w:rsidDel="00000000" w:rsidR="00000000" w:rsidRPr="00000000">
        <w:rPr>
          <w:color w:val="e69138"/>
          <w:rtl w:val="0"/>
        </w:rPr>
        <w:t xml:space="preserve">To be completed…</w:t>
      </w:r>
    </w:p>
    <w:p w:rsidR="00000000" w:rsidDel="00000000" w:rsidP="00000000" w:rsidRDefault="00000000" w:rsidRPr="00000000" w14:paraId="00000051">
      <w:pPr>
        <w:rPr>
          <w:color w:val="e69138"/>
        </w:rPr>
      </w:pPr>
      <w:r w:rsidDel="00000000" w:rsidR="00000000" w:rsidRPr="00000000">
        <w:rPr>
          <w:rtl w:val="0"/>
        </w:rPr>
      </w:r>
    </w:p>
    <w:p w:rsidR="00000000" w:rsidDel="00000000" w:rsidP="00000000" w:rsidRDefault="00000000" w:rsidRPr="00000000" w14:paraId="00000052">
      <w:pPr>
        <w:pStyle w:val="Heading3"/>
        <w:keepNext w:val="0"/>
        <w:keepLines w:val="0"/>
        <w:numPr>
          <w:ilvl w:val="1"/>
          <w:numId w:val="3"/>
        </w:numPr>
        <w:spacing w:after="0" w:before="0" w:line="240" w:lineRule="auto"/>
        <w:ind w:left="792" w:hanging="432"/>
        <w:jc w:val="both"/>
        <w:rPr>
          <w:color w:val="7f207f"/>
          <w:sz w:val="32"/>
          <w:szCs w:val="32"/>
        </w:rPr>
      </w:pPr>
      <w:bookmarkStart w:colFirst="0" w:colLast="0" w:name="_t5ty68gjzlo2" w:id="13"/>
      <w:bookmarkEnd w:id="13"/>
      <w:r w:rsidDel="00000000" w:rsidR="00000000" w:rsidRPr="00000000">
        <w:rPr>
          <w:color w:val="7f207f"/>
          <w:rtl w:val="0"/>
        </w:rPr>
        <w:t xml:space="preserve">Recommendations on eSignature CEF building block usage</w:t>
      </w:r>
    </w:p>
    <w:p w:rsidR="00000000" w:rsidDel="00000000" w:rsidP="00000000" w:rsidRDefault="00000000" w:rsidRPr="00000000" w14:paraId="00000053">
      <w:pPr>
        <w:rPr>
          <w:b w:val="1"/>
          <w:color w:val="1cadb8"/>
          <w:sz w:val="32"/>
          <w:szCs w:val="32"/>
        </w:rPr>
      </w:pPr>
      <w:r w:rsidDel="00000000" w:rsidR="00000000" w:rsidRPr="00000000">
        <w:rPr>
          <w:color w:val="e69138"/>
          <w:rtl w:val="0"/>
        </w:rPr>
        <w:t xml:space="preserve">To be completed…</w:t>
      </w:r>
      <w:r w:rsidDel="00000000" w:rsidR="00000000" w:rsidRPr="00000000">
        <w:br w:type="page"/>
      </w:r>
      <w:r w:rsidDel="00000000" w:rsidR="00000000" w:rsidRPr="00000000">
        <w:rPr>
          <w:rtl w:val="0"/>
        </w:rPr>
      </w:r>
    </w:p>
    <w:p w:rsidR="00000000" w:rsidDel="00000000" w:rsidP="00000000" w:rsidRDefault="00000000" w:rsidRPr="00000000" w14:paraId="00000054">
      <w:pPr>
        <w:pStyle w:val="Heading1"/>
        <w:keepNext w:val="0"/>
        <w:keepLines w:val="0"/>
        <w:numPr>
          <w:ilvl w:val="0"/>
          <w:numId w:val="3"/>
        </w:numPr>
        <w:spacing w:after="0" w:before="0" w:line="240" w:lineRule="auto"/>
        <w:ind w:left="360"/>
        <w:rPr>
          <w:b w:val="1"/>
          <w:color w:val="1cadb8"/>
          <w:sz w:val="32"/>
          <w:szCs w:val="32"/>
        </w:rPr>
      </w:pPr>
      <w:bookmarkStart w:colFirst="0" w:colLast="0" w:name="_edg1kgq2h78g" w:id="14"/>
      <w:bookmarkEnd w:id="14"/>
      <w:r w:rsidDel="00000000" w:rsidR="00000000" w:rsidRPr="00000000">
        <w:rPr>
          <w:b w:val="1"/>
          <w:color w:val="1cadb8"/>
          <w:sz w:val="32"/>
          <w:szCs w:val="32"/>
          <w:rtl w:val="0"/>
        </w:rPr>
        <w:t xml:space="preserve">The eArchive CEF building block</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i w:val="1"/>
          <w:color w:val="666666"/>
          <w:rtl w:val="0"/>
        </w:rPr>
        <w:t xml:space="preserve">Based on Task 2.1’s “</w:t>
      </w:r>
      <w:hyperlink r:id="rId9">
        <w:r w:rsidDel="00000000" w:rsidR="00000000" w:rsidRPr="00000000">
          <w:rPr>
            <w:i w:val="1"/>
            <w:color w:val="1155cc"/>
            <w:u w:val="single"/>
            <w:rtl w:val="0"/>
          </w:rPr>
          <w:t xml:space="preserve">Updated requirements analysis report</w:t>
        </w:r>
      </w:hyperlink>
      <w:r w:rsidDel="00000000" w:rsidR="00000000" w:rsidRPr="00000000">
        <w:rPr>
          <w:i w:val="1"/>
          <w:color w:val="666666"/>
          <w:rtl w:val="0"/>
        </w:rPr>
        <w:t xml:space="preserve">” and … .</w:t>
      </w:r>
      <w:r w:rsidDel="00000000" w:rsidR="00000000" w:rsidRPr="00000000">
        <w:rPr>
          <w:rtl w:val="0"/>
        </w:rPr>
      </w:r>
    </w:p>
    <w:p w:rsidR="00000000" w:rsidDel="00000000" w:rsidP="00000000" w:rsidRDefault="00000000" w:rsidRPr="00000000" w14:paraId="00000057">
      <w:pPr>
        <w:rPr>
          <w:color w:val="e69138"/>
        </w:rPr>
      </w:pPr>
      <w:r w:rsidDel="00000000" w:rsidR="00000000" w:rsidRPr="00000000">
        <w:rPr>
          <w:color w:val="e69138"/>
          <w:rtl w:val="0"/>
        </w:rPr>
        <w:t xml:space="preserve">To be completed as the reports for eArchive service is not available in the drive yet and no mention of the actual integration of the OLA is available yet.</w:t>
      </w:r>
    </w:p>
    <w:p w:rsidR="00000000" w:rsidDel="00000000" w:rsidP="00000000" w:rsidRDefault="00000000" w:rsidRPr="00000000" w14:paraId="00000058">
      <w:pPr>
        <w:rPr>
          <w:color w:val="e69138"/>
        </w:rPr>
      </w:pPr>
      <w:r w:rsidDel="00000000" w:rsidR="00000000" w:rsidRPr="00000000">
        <w:rPr>
          <w:rtl w:val="0"/>
        </w:rPr>
      </w:r>
    </w:p>
    <w:p w:rsidR="00000000" w:rsidDel="00000000" w:rsidP="00000000" w:rsidRDefault="00000000" w:rsidRPr="00000000" w14:paraId="00000059">
      <w:pPr>
        <w:pStyle w:val="Heading3"/>
        <w:keepNext w:val="0"/>
        <w:keepLines w:val="0"/>
        <w:numPr>
          <w:ilvl w:val="1"/>
          <w:numId w:val="3"/>
        </w:numPr>
        <w:spacing w:after="0" w:before="0" w:line="240" w:lineRule="auto"/>
        <w:ind w:left="792" w:hanging="432"/>
        <w:jc w:val="both"/>
        <w:rPr>
          <w:color w:val="7f207f"/>
          <w:sz w:val="28"/>
          <w:szCs w:val="28"/>
        </w:rPr>
      </w:pPr>
      <w:bookmarkStart w:colFirst="0" w:colLast="0" w:name="_cnqcrg74lczj" w:id="15"/>
      <w:bookmarkEnd w:id="15"/>
      <w:r w:rsidDel="00000000" w:rsidR="00000000" w:rsidRPr="00000000">
        <w:rPr>
          <w:color w:val="7f207f"/>
          <w:rtl w:val="0"/>
        </w:rPr>
        <w:t xml:space="preserve">Integration in the OLA platform</w:t>
      </w:r>
    </w:p>
    <w:p w:rsidR="00000000" w:rsidDel="00000000" w:rsidP="00000000" w:rsidRDefault="00000000" w:rsidRPr="00000000" w14:paraId="0000005A">
      <w:pPr>
        <w:rPr>
          <w:color w:val="e69138"/>
        </w:rPr>
      </w:pPr>
      <w:r w:rsidDel="00000000" w:rsidR="00000000" w:rsidRPr="00000000">
        <w:rPr>
          <w:color w:val="e69138"/>
          <w:rtl w:val="0"/>
        </w:rPr>
        <w:t xml:space="preserve">To be completed as this integration is mentioned in the</w:t>
      </w:r>
      <w:r w:rsidDel="00000000" w:rsidR="00000000" w:rsidRPr="00000000">
        <w:rPr>
          <w:rtl w:val="0"/>
        </w:rPr>
        <w:t xml:space="preserve"> </w:t>
      </w:r>
      <w:hyperlink r:id="rId10">
        <w:r w:rsidDel="00000000" w:rsidR="00000000" w:rsidRPr="00000000">
          <w:rPr>
            <w:i w:val="1"/>
            <w:color w:val="1155cc"/>
            <w:u w:val="single"/>
            <w:rtl w:val="0"/>
          </w:rPr>
          <w:t xml:space="preserve">Updated requirements analysis report</w:t>
        </w:r>
      </w:hyperlink>
      <w:r w:rsidDel="00000000" w:rsidR="00000000" w:rsidRPr="00000000">
        <w:rPr>
          <w:rtl w:val="0"/>
        </w:rPr>
        <w:t xml:space="preserve"> </w:t>
      </w:r>
      <w:r w:rsidDel="00000000" w:rsidR="00000000" w:rsidRPr="00000000">
        <w:rPr>
          <w:color w:val="e69138"/>
          <w:rtl w:val="0"/>
        </w:rPr>
        <w:t xml:space="preserve">but as far as I remember this idea was sort of abandoned or put on hold.</w:t>
      </w:r>
    </w:p>
    <w:p w:rsidR="00000000" w:rsidDel="00000000" w:rsidP="00000000" w:rsidRDefault="00000000" w:rsidRPr="00000000" w14:paraId="0000005B">
      <w:pPr>
        <w:rPr>
          <w:color w:val="e69138"/>
        </w:rPr>
      </w:pPr>
      <w:r w:rsidDel="00000000" w:rsidR="00000000" w:rsidRPr="00000000">
        <w:rPr>
          <w:rtl w:val="0"/>
        </w:rPr>
      </w:r>
    </w:p>
    <w:p w:rsidR="00000000" w:rsidDel="00000000" w:rsidP="00000000" w:rsidRDefault="00000000" w:rsidRPr="00000000" w14:paraId="0000005C">
      <w:pPr>
        <w:pStyle w:val="Heading3"/>
        <w:keepNext w:val="0"/>
        <w:keepLines w:val="0"/>
        <w:numPr>
          <w:ilvl w:val="1"/>
          <w:numId w:val="3"/>
        </w:numPr>
        <w:spacing w:after="0" w:before="0" w:line="240" w:lineRule="auto"/>
        <w:ind w:left="792" w:hanging="432"/>
        <w:jc w:val="both"/>
        <w:rPr>
          <w:color w:val="7f207f"/>
          <w:sz w:val="28"/>
          <w:szCs w:val="28"/>
        </w:rPr>
      </w:pPr>
      <w:bookmarkStart w:colFirst="0" w:colLast="0" w:name="_dhm6zdccsf1n" w:id="16"/>
      <w:bookmarkEnd w:id="16"/>
      <w:r w:rsidDel="00000000" w:rsidR="00000000" w:rsidRPr="00000000">
        <w:rPr>
          <w:color w:val="7f207f"/>
          <w:rtl w:val="0"/>
        </w:rPr>
        <w:t xml:space="preserve">Compatibility with eIDAS</w:t>
      </w:r>
    </w:p>
    <w:p w:rsidR="00000000" w:rsidDel="00000000" w:rsidP="00000000" w:rsidRDefault="00000000" w:rsidRPr="00000000" w14:paraId="0000005D">
      <w:pPr>
        <w:rPr>
          <w:color w:val="e69138"/>
        </w:rPr>
      </w:pPr>
      <w:r w:rsidDel="00000000" w:rsidR="00000000" w:rsidRPr="00000000">
        <w:rPr>
          <w:color w:val="e69138"/>
          <w:rtl w:val="0"/>
        </w:rPr>
        <w:t xml:space="preserve">To be completed…</w:t>
      </w:r>
    </w:p>
    <w:p w:rsidR="00000000" w:rsidDel="00000000" w:rsidP="00000000" w:rsidRDefault="00000000" w:rsidRPr="00000000" w14:paraId="0000005E">
      <w:pPr>
        <w:rPr>
          <w:color w:val="e69138"/>
        </w:rPr>
      </w:pPr>
      <w:r w:rsidDel="00000000" w:rsidR="00000000" w:rsidRPr="00000000">
        <w:rPr>
          <w:rtl w:val="0"/>
        </w:rPr>
      </w:r>
    </w:p>
    <w:p w:rsidR="00000000" w:rsidDel="00000000" w:rsidP="00000000" w:rsidRDefault="00000000" w:rsidRPr="00000000" w14:paraId="0000005F">
      <w:pPr>
        <w:pStyle w:val="Heading3"/>
        <w:keepNext w:val="0"/>
        <w:keepLines w:val="0"/>
        <w:numPr>
          <w:ilvl w:val="1"/>
          <w:numId w:val="3"/>
        </w:numPr>
        <w:spacing w:after="0" w:before="0" w:line="240" w:lineRule="auto"/>
        <w:ind w:left="792" w:hanging="432"/>
        <w:jc w:val="both"/>
        <w:rPr>
          <w:color w:val="7f207f"/>
          <w:sz w:val="28"/>
          <w:szCs w:val="28"/>
        </w:rPr>
      </w:pPr>
      <w:bookmarkStart w:colFirst="0" w:colLast="0" w:name="_x5zl7drswqg7" w:id="17"/>
      <w:bookmarkEnd w:id="17"/>
      <w:r w:rsidDel="00000000" w:rsidR="00000000" w:rsidRPr="00000000">
        <w:rPr>
          <w:color w:val="7f207f"/>
          <w:rtl w:val="0"/>
        </w:rPr>
        <w:t xml:space="preserve">Other tools/systems in the interoperability infrastructure that would benefit from the eArchive CEF building block integration</w:t>
      </w:r>
    </w:p>
    <w:p w:rsidR="00000000" w:rsidDel="00000000" w:rsidP="00000000" w:rsidRDefault="00000000" w:rsidRPr="00000000" w14:paraId="00000060">
      <w:pPr>
        <w:rPr>
          <w:color w:val="e69138"/>
        </w:rPr>
      </w:pPr>
      <w:r w:rsidDel="00000000" w:rsidR="00000000" w:rsidRPr="00000000">
        <w:rPr>
          <w:color w:val="e69138"/>
          <w:rtl w:val="0"/>
        </w:rPr>
        <w:t xml:space="preserve">To be completed…</w:t>
      </w:r>
    </w:p>
    <w:p w:rsidR="00000000" w:rsidDel="00000000" w:rsidP="00000000" w:rsidRDefault="00000000" w:rsidRPr="00000000" w14:paraId="00000061">
      <w:pPr>
        <w:rPr>
          <w:color w:val="e69138"/>
        </w:rPr>
      </w:pPr>
      <w:r w:rsidDel="00000000" w:rsidR="00000000" w:rsidRPr="00000000">
        <w:rPr>
          <w:rtl w:val="0"/>
        </w:rPr>
      </w:r>
    </w:p>
    <w:p w:rsidR="00000000" w:rsidDel="00000000" w:rsidP="00000000" w:rsidRDefault="00000000" w:rsidRPr="00000000" w14:paraId="00000062">
      <w:pPr>
        <w:pStyle w:val="Heading3"/>
        <w:keepNext w:val="0"/>
        <w:keepLines w:val="0"/>
        <w:numPr>
          <w:ilvl w:val="1"/>
          <w:numId w:val="3"/>
        </w:numPr>
        <w:spacing w:after="0" w:before="0" w:line="240" w:lineRule="auto"/>
        <w:ind w:left="792" w:hanging="432"/>
        <w:jc w:val="both"/>
        <w:rPr>
          <w:color w:val="7f207f"/>
          <w:sz w:val="28"/>
          <w:szCs w:val="28"/>
        </w:rPr>
      </w:pPr>
      <w:bookmarkStart w:colFirst="0" w:colLast="0" w:name="_6ybo63ao6lpu" w:id="18"/>
      <w:bookmarkEnd w:id="18"/>
      <w:r w:rsidDel="00000000" w:rsidR="00000000" w:rsidRPr="00000000">
        <w:rPr>
          <w:color w:val="7f207f"/>
          <w:rtl w:val="0"/>
        </w:rPr>
        <w:t xml:space="preserve">Recommendations on eArchive CEF building block usage</w:t>
      </w:r>
    </w:p>
    <w:p w:rsidR="00000000" w:rsidDel="00000000" w:rsidP="00000000" w:rsidRDefault="00000000" w:rsidRPr="00000000" w14:paraId="00000063">
      <w:pPr>
        <w:rPr>
          <w:color w:val="7f207f"/>
          <w:sz w:val="24"/>
          <w:szCs w:val="24"/>
        </w:rPr>
      </w:pPr>
      <w:r w:rsidDel="00000000" w:rsidR="00000000" w:rsidRPr="00000000">
        <w:rPr>
          <w:color w:val="e69138"/>
          <w:rtl w:val="0"/>
        </w:rPr>
        <w:t xml:space="preserve">To be completed…</w:t>
      </w:r>
      <w:r w:rsidDel="00000000" w:rsidR="00000000" w:rsidRPr="00000000">
        <w:rPr>
          <w:rtl w:val="0"/>
        </w:rPr>
      </w:r>
    </w:p>
    <w:p w:rsidR="00000000" w:rsidDel="00000000" w:rsidP="00000000" w:rsidRDefault="00000000" w:rsidRPr="00000000" w14:paraId="00000064">
      <w:pPr>
        <w:rPr>
          <w:color w:val="e69138"/>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color w:val="e69138"/>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color w:val="e69138"/>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color w:val="1cadb8"/>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6B">
      <w:pPr>
        <w:pStyle w:val="Heading1"/>
        <w:keepNext w:val="0"/>
        <w:keepLines w:val="0"/>
        <w:numPr>
          <w:ilvl w:val="0"/>
          <w:numId w:val="3"/>
        </w:numPr>
        <w:spacing w:after="0" w:before="0" w:line="240" w:lineRule="auto"/>
        <w:ind w:left="360"/>
        <w:rPr>
          <w:b w:val="1"/>
          <w:color w:val="1cadb8"/>
          <w:sz w:val="32"/>
          <w:szCs w:val="32"/>
        </w:rPr>
      </w:pPr>
      <w:bookmarkStart w:colFirst="0" w:colLast="0" w:name="_gdyvhxu7cxfe" w:id="19"/>
      <w:bookmarkEnd w:id="19"/>
      <w:r w:rsidDel="00000000" w:rsidR="00000000" w:rsidRPr="00000000">
        <w:rPr>
          <w:b w:val="1"/>
          <w:color w:val="1cadb8"/>
          <w:sz w:val="32"/>
          <w:szCs w:val="32"/>
          <w:rtl w:val="0"/>
        </w:rPr>
        <w:t xml:space="preserve">The eTranslate CEF building block</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i w:val="1"/>
          <w:color w:val="666666"/>
        </w:rPr>
      </w:pPr>
      <w:r w:rsidDel="00000000" w:rsidR="00000000" w:rsidRPr="00000000">
        <w:rPr>
          <w:i w:val="1"/>
          <w:color w:val="666666"/>
          <w:rtl w:val="0"/>
        </w:rPr>
        <w:t xml:space="preserve">Based on Task 2.4’s “eTranslate CEF building block usability report”.</w:t>
      </w:r>
    </w:p>
    <w:p w:rsidR="00000000" w:rsidDel="00000000" w:rsidP="00000000" w:rsidRDefault="00000000" w:rsidRPr="00000000" w14:paraId="0000006E">
      <w:pPr>
        <w:rPr/>
      </w:pPr>
      <w:r w:rsidDel="00000000" w:rsidR="00000000" w:rsidRPr="00000000">
        <w:rPr>
          <w:rtl w:val="0"/>
        </w:rPr>
        <w:t xml:space="preserve">The</w:t>
      </w:r>
      <w:r w:rsidDel="00000000" w:rsidR="00000000" w:rsidRPr="00000000">
        <w:rPr>
          <w:i w:val="1"/>
          <w:rtl w:val="0"/>
        </w:rPr>
        <w:t xml:space="preserve"> eTranslate CEF building block</w:t>
      </w:r>
      <w:r w:rsidDel="00000000" w:rsidR="00000000" w:rsidRPr="00000000">
        <w:rPr>
          <w:rtl w:val="0"/>
        </w:rPr>
        <w:t xml:space="preserve"> uses a machine-learning algorithm that focuses on translating sentences, or segments of sentences, on the theme of higher education.</w:t>
      </w:r>
    </w:p>
    <w:p w:rsidR="00000000" w:rsidDel="00000000" w:rsidP="00000000" w:rsidRDefault="00000000" w:rsidRPr="00000000" w14:paraId="0000006F">
      <w:pPr>
        <w:rPr/>
      </w:pPr>
      <w:r w:rsidDel="00000000" w:rsidR="00000000" w:rsidRPr="00000000">
        <w:rPr>
          <w:rtl w:val="0"/>
        </w:rPr>
        <w:t xml:space="preserve">It has already been trained on more than a billion exact segment translations and is constantly subjected to more of them in order to improve its results.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The eTranslate CEF building block computes translations asynchronously. This means that each translation request will not instantly receive the translation in response but will rather enter a queue that will be addressed when the computing capacity is available and then answered when the translation is complete.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The building block offers two, non-exclusive, methods of receiving the translated content:</w:t>
      </w:r>
    </w:p>
    <w:p w:rsidR="00000000" w:rsidDel="00000000" w:rsidP="00000000" w:rsidRDefault="00000000" w:rsidRPr="00000000" w14:paraId="00000074">
      <w:pPr>
        <w:numPr>
          <w:ilvl w:val="0"/>
          <w:numId w:val="11"/>
        </w:numPr>
        <w:ind w:left="720" w:hanging="360"/>
      </w:pPr>
      <w:r w:rsidDel="00000000" w:rsidR="00000000" w:rsidRPr="00000000">
        <w:rPr>
          <w:i w:val="1"/>
          <w:rtl w:val="0"/>
        </w:rPr>
        <w:t xml:space="preserve">By email</w:t>
      </w:r>
      <w:r w:rsidDel="00000000" w:rsidR="00000000" w:rsidRPr="00000000">
        <w:rPr>
          <w:rtl w:val="0"/>
        </w:rPr>
        <w:t xml:space="preserve"> or</w:t>
      </w:r>
    </w:p>
    <w:p w:rsidR="00000000" w:rsidDel="00000000" w:rsidP="00000000" w:rsidRDefault="00000000" w:rsidRPr="00000000" w14:paraId="00000075">
      <w:pPr>
        <w:numPr>
          <w:ilvl w:val="0"/>
          <w:numId w:val="11"/>
        </w:numPr>
        <w:ind w:left="720" w:hanging="360"/>
      </w:pPr>
      <w:r w:rsidDel="00000000" w:rsidR="00000000" w:rsidRPr="00000000">
        <w:rPr>
          <w:i w:val="1"/>
          <w:rtl w:val="0"/>
        </w:rPr>
        <w:t xml:space="preserve">Machine-to-machine</w:t>
      </w:r>
      <w:r w:rsidDel="00000000" w:rsidR="00000000" w:rsidRPr="00000000">
        <w:rPr>
          <w:rtl w:val="0"/>
        </w:rPr>
        <w:t xml:space="preserve"> calling back an endpoint URL defined at the request of the translation.</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t9z4rm9hvmqj" w:id="20"/>
      <w:bookmarkEnd w:id="20"/>
      <w:r w:rsidDel="00000000" w:rsidR="00000000" w:rsidRPr="00000000">
        <w:rPr>
          <w:color w:val="7f207f"/>
          <w:sz w:val="28"/>
          <w:szCs w:val="28"/>
          <w:rtl w:val="0"/>
        </w:rPr>
        <w:t xml:space="preserve">Developed proof-of-concept: Drupal CMS</w:t>
      </w:r>
    </w:p>
    <w:p w:rsidR="00000000" w:rsidDel="00000000" w:rsidP="00000000" w:rsidRDefault="00000000" w:rsidRPr="00000000" w14:paraId="00000078">
      <w:pPr>
        <w:rPr/>
      </w:pPr>
      <w:r w:rsidDel="00000000" w:rsidR="00000000" w:rsidRPr="00000000">
        <w:rPr>
          <w:rtl w:val="0"/>
        </w:rPr>
        <w:t xml:space="preserve">As mentioned in the </w:t>
      </w:r>
      <w:hyperlink r:id="rId11">
        <w:r w:rsidDel="00000000" w:rsidR="00000000" w:rsidRPr="00000000">
          <w:rPr>
            <w:color w:val="1155cc"/>
            <w:u w:val="single"/>
            <w:rtl w:val="0"/>
          </w:rPr>
          <w:t xml:space="preserve">eTranslate CEF building block usability report</w:t>
        </w:r>
      </w:hyperlink>
      <w:r w:rsidDel="00000000" w:rsidR="00000000" w:rsidRPr="00000000">
        <w:rPr>
          <w:rtl w:val="0"/>
        </w:rPr>
        <w:t xml:space="preserve">: “</w:t>
      </w:r>
      <w:r w:rsidDel="00000000" w:rsidR="00000000" w:rsidRPr="00000000">
        <w:rPr>
          <w:i w:val="1"/>
          <w:rtl w:val="0"/>
        </w:rPr>
        <w:t xml:space="preserve">There is a sample scenario on how to use the eTranslation web service through the Drupal CMS</w:t>
      </w:r>
      <w:r w:rsidDel="00000000" w:rsidR="00000000" w:rsidRPr="00000000">
        <w:rPr>
          <w:rtl w:val="0"/>
        </w:rPr>
        <w:t xml:space="preserve">”.</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This proof-of-concept, developed in EDSSI L2, demonstrates the usage of the </w:t>
      </w:r>
      <w:r w:rsidDel="00000000" w:rsidR="00000000" w:rsidRPr="00000000">
        <w:rPr>
          <w:i w:val="1"/>
          <w:rtl w:val="0"/>
        </w:rPr>
        <w:t xml:space="preserve">eTranslate CEF building block</w:t>
      </w:r>
      <w:r w:rsidDel="00000000" w:rsidR="00000000" w:rsidRPr="00000000">
        <w:rPr>
          <w:rtl w:val="0"/>
        </w:rPr>
        <w:t xml:space="preserve"> within a CMS application using the “</w:t>
      </w:r>
      <w:r w:rsidDel="00000000" w:rsidR="00000000" w:rsidRPr="00000000">
        <w:rPr>
          <w:i w:val="1"/>
          <w:rtl w:val="0"/>
        </w:rPr>
        <w:t xml:space="preserve">by email</w:t>
      </w:r>
      <w:r w:rsidDel="00000000" w:rsidR="00000000" w:rsidRPr="00000000">
        <w:rPr>
          <w:rtl w:val="0"/>
        </w:rPr>
        <w:t xml:space="preserve">” method for receiving the translation. The machine-to-machine feature is yet to be demonstrated in a proof-of-concept.</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Using the Drupal CMS technologie was no coincidence as several of the key pieces of the interoperability infrastructure are also based on the Drupal CMS such as the OLA platform, and the Erasmus+ App.</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h8shecjjxf9l" w:id="21"/>
      <w:bookmarkEnd w:id="21"/>
      <w:r w:rsidDel="00000000" w:rsidR="00000000" w:rsidRPr="00000000">
        <w:rPr>
          <w:color w:val="7f207f"/>
          <w:sz w:val="28"/>
          <w:szCs w:val="28"/>
          <w:rtl w:val="0"/>
        </w:rPr>
        <w:t xml:space="preserve">Tools/systems in the interoperability infrastructure that would benefit from the eTranslate CEF building block integration</w:t>
      </w:r>
    </w:p>
    <w:p w:rsidR="00000000" w:rsidDel="00000000" w:rsidP="00000000" w:rsidRDefault="00000000" w:rsidRPr="00000000" w14:paraId="0000007F">
      <w:pPr>
        <w:rPr/>
      </w:pPr>
      <w:r w:rsidDel="00000000" w:rsidR="00000000" w:rsidRPr="00000000">
        <w:rPr>
          <w:rtl w:val="0"/>
        </w:rPr>
        <w:t xml:space="preserve">The </w:t>
      </w:r>
      <w:hyperlink r:id="rId12">
        <w:r w:rsidDel="00000000" w:rsidR="00000000" w:rsidRPr="00000000">
          <w:rPr>
            <w:color w:val="1155cc"/>
            <w:u w:val="single"/>
            <w:rtl w:val="0"/>
          </w:rPr>
          <w:t xml:space="preserve">eTranslate CEF building block usability report</w:t>
        </w:r>
      </w:hyperlink>
      <w:r w:rsidDel="00000000" w:rsidR="00000000" w:rsidRPr="00000000">
        <w:rPr>
          <w:rtl w:val="0"/>
        </w:rPr>
        <w:t xml:space="preserve"> refers to many pieces of the interoperability infrastructure that would benefit from using the eSignature CEF building block:</w:t>
      </w:r>
    </w:p>
    <w:p w:rsidR="00000000" w:rsidDel="00000000" w:rsidP="00000000" w:rsidRDefault="00000000" w:rsidRPr="00000000" w14:paraId="00000080">
      <w:pPr>
        <w:numPr>
          <w:ilvl w:val="0"/>
          <w:numId w:val="4"/>
        </w:numPr>
        <w:ind w:left="720" w:hanging="360"/>
      </w:pPr>
      <w:r w:rsidDel="00000000" w:rsidR="00000000" w:rsidRPr="00000000">
        <w:rPr>
          <w:rtl w:val="0"/>
        </w:rPr>
        <w:t xml:space="preserve">Course catalogs</w:t>
      </w:r>
    </w:p>
    <w:p w:rsidR="00000000" w:rsidDel="00000000" w:rsidP="00000000" w:rsidRDefault="00000000" w:rsidRPr="00000000" w14:paraId="00000081">
      <w:pPr>
        <w:numPr>
          <w:ilvl w:val="0"/>
          <w:numId w:val="4"/>
        </w:numPr>
        <w:ind w:left="720" w:hanging="360"/>
      </w:pPr>
      <w:r w:rsidDel="00000000" w:rsidR="00000000" w:rsidRPr="00000000">
        <w:rPr>
          <w:rtl w:val="0"/>
        </w:rPr>
        <w:t xml:space="preserve">The Erasmus+ Dashboard’s website,</w:t>
      </w:r>
    </w:p>
    <w:p w:rsidR="00000000" w:rsidDel="00000000" w:rsidP="00000000" w:rsidRDefault="00000000" w:rsidRPr="00000000" w14:paraId="00000082">
      <w:pPr>
        <w:numPr>
          <w:ilvl w:val="0"/>
          <w:numId w:val="4"/>
        </w:numPr>
        <w:ind w:left="720" w:hanging="360"/>
      </w:pPr>
      <w:r w:rsidDel="00000000" w:rsidR="00000000" w:rsidRPr="00000000">
        <w:rPr>
          <w:rtl w:val="0"/>
        </w:rPr>
        <w:t xml:space="preserve">The OLA’s (Online Learning Agreement) website,</w:t>
      </w:r>
    </w:p>
    <w:p w:rsidR="00000000" w:rsidDel="00000000" w:rsidP="00000000" w:rsidRDefault="00000000" w:rsidRPr="00000000" w14:paraId="00000083">
      <w:pPr>
        <w:numPr>
          <w:ilvl w:val="0"/>
          <w:numId w:val="4"/>
        </w:numPr>
        <w:ind w:left="720" w:hanging="360"/>
      </w:pPr>
      <w:r w:rsidDel="00000000" w:rsidR="00000000" w:rsidRPr="00000000">
        <w:rPr>
          <w:rtl w:val="0"/>
        </w:rPr>
        <w:t xml:space="preserve">The EWP wiki,</w:t>
      </w:r>
    </w:p>
    <w:p w:rsidR="00000000" w:rsidDel="00000000" w:rsidP="00000000" w:rsidRDefault="00000000" w:rsidRPr="00000000" w14:paraId="00000084">
      <w:pPr>
        <w:numPr>
          <w:ilvl w:val="0"/>
          <w:numId w:val="4"/>
        </w:numPr>
        <w:ind w:left="720" w:hanging="360"/>
      </w:pPr>
      <w:r w:rsidDel="00000000" w:rsidR="00000000" w:rsidRPr="00000000">
        <w:rPr>
          <w:rtl w:val="0"/>
        </w:rPr>
        <w:t xml:space="preserve">Learning agreements (LA) templates,</w:t>
      </w:r>
    </w:p>
    <w:p w:rsidR="00000000" w:rsidDel="00000000" w:rsidP="00000000" w:rsidRDefault="00000000" w:rsidRPr="00000000" w14:paraId="00000085">
      <w:pPr>
        <w:numPr>
          <w:ilvl w:val="0"/>
          <w:numId w:val="4"/>
        </w:numPr>
        <w:ind w:left="720" w:hanging="360"/>
      </w:pPr>
      <w:r w:rsidDel="00000000" w:rsidR="00000000" w:rsidRPr="00000000">
        <w:rPr>
          <w:rtl w:val="0"/>
        </w:rPr>
        <w:t xml:space="preserve">Transcript of records (ToR) templates,</w:t>
      </w:r>
    </w:p>
    <w:p w:rsidR="00000000" w:rsidDel="00000000" w:rsidP="00000000" w:rsidRDefault="00000000" w:rsidRPr="00000000" w14:paraId="00000086">
      <w:pPr>
        <w:numPr>
          <w:ilvl w:val="0"/>
          <w:numId w:val="4"/>
        </w:numPr>
        <w:ind w:left="720" w:hanging="360"/>
      </w:pPr>
      <w:r w:rsidDel="00000000" w:rsidR="00000000" w:rsidRPr="00000000">
        <w:rPr>
          <w:rtl w:val="0"/>
        </w:rPr>
        <w:t xml:space="preserve">Inter institutional Agreements (IIA) templates and data (factsheet),</w:t>
      </w:r>
    </w:p>
    <w:p w:rsidR="00000000" w:rsidDel="00000000" w:rsidP="00000000" w:rsidRDefault="00000000" w:rsidRPr="00000000" w14:paraId="00000087">
      <w:pPr>
        <w:numPr>
          <w:ilvl w:val="0"/>
          <w:numId w:val="4"/>
        </w:numPr>
        <w:ind w:left="720" w:hanging="360"/>
      </w:pPr>
      <w:r w:rsidDel="00000000" w:rsidR="00000000" w:rsidRPr="00000000">
        <w:rPr>
          <w:rtl w:val="0"/>
        </w:rPr>
        <w:t xml:space="preserve">MyAcademicID’s authentication interfaces,</w:t>
      </w:r>
    </w:p>
    <w:p w:rsidR="00000000" w:rsidDel="00000000" w:rsidP="00000000" w:rsidRDefault="00000000" w:rsidRPr="00000000" w14:paraId="00000088">
      <w:pPr>
        <w:numPr>
          <w:ilvl w:val="0"/>
          <w:numId w:val="4"/>
        </w:numPr>
        <w:ind w:left="720" w:hanging="360"/>
      </w:pPr>
      <w:r w:rsidDel="00000000" w:rsidR="00000000" w:rsidRPr="00000000">
        <w:rPr>
          <w:rtl w:val="0"/>
        </w:rPr>
        <w:t xml:space="preserve">The EWP registry,</w:t>
      </w:r>
    </w:p>
    <w:p w:rsidR="00000000" w:rsidDel="00000000" w:rsidP="00000000" w:rsidRDefault="00000000" w:rsidRPr="00000000" w14:paraId="00000089">
      <w:pPr>
        <w:numPr>
          <w:ilvl w:val="0"/>
          <w:numId w:val="4"/>
        </w:numPr>
        <w:ind w:left="720" w:hanging="360"/>
      </w:pPr>
      <w:r w:rsidDel="00000000" w:rsidR="00000000" w:rsidRPr="00000000">
        <w:rPr>
          <w:rtl w:val="0"/>
        </w:rPr>
        <w:t xml:space="preserve">International Relations Offices’ websites,</w:t>
      </w:r>
    </w:p>
    <w:p w:rsidR="00000000" w:rsidDel="00000000" w:rsidP="00000000" w:rsidRDefault="00000000" w:rsidRPr="00000000" w14:paraId="0000008A">
      <w:pPr>
        <w:numPr>
          <w:ilvl w:val="0"/>
          <w:numId w:val="4"/>
        </w:numPr>
        <w:ind w:left="720" w:hanging="360"/>
      </w:pPr>
      <w:r w:rsidDel="00000000" w:rsidR="00000000" w:rsidRPr="00000000">
        <w:rPr>
          <w:rtl w:val="0"/>
        </w:rPr>
        <w:t xml:space="preserve">Student Service Providers (SSP) websites and data,</w:t>
      </w:r>
    </w:p>
    <w:p w:rsidR="00000000" w:rsidDel="00000000" w:rsidP="00000000" w:rsidRDefault="00000000" w:rsidRPr="00000000" w14:paraId="0000008B">
      <w:pPr>
        <w:numPr>
          <w:ilvl w:val="0"/>
          <w:numId w:val="4"/>
        </w:numPr>
        <w:ind w:left="720" w:hanging="360"/>
      </w:pPr>
      <w:r w:rsidDel="00000000" w:rsidR="00000000" w:rsidRPr="00000000">
        <w:rPr>
          <w:rtl w:val="0"/>
        </w:rPr>
        <w:t xml:space="preserve">Etc.</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7on9ywk2ud9v" w:id="22"/>
      <w:bookmarkEnd w:id="22"/>
      <w:r w:rsidDel="00000000" w:rsidR="00000000" w:rsidRPr="00000000">
        <w:rPr>
          <w:color w:val="7f207f"/>
          <w:sz w:val="28"/>
          <w:szCs w:val="28"/>
          <w:rtl w:val="0"/>
        </w:rPr>
        <w:t xml:space="preserve">Recommendations on eTranslate CEF building block usage</w:t>
      </w: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The eTranslate CEF building block can already be used and trusted for high accuracy for the translation of text on the theme of higher education. The machine learning algorithm it uses has already been trained to translate more than a billion segments of sentences and will become more and more powerful with time as it gets trained with more segments.</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The asynchronous nature of this CEF building block’s translations functionality requires the requester to adapt their processes as “live” translations are not possible.</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The following translation use cases relevant to higher education will list the different steps to follow when using the eTranslate building block.</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pStyle w:val="Heading3"/>
        <w:keepNext w:val="0"/>
        <w:keepLines w:val="0"/>
        <w:numPr>
          <w:ilvl w:val="2"/>
          <w:numId w:val="3"/>
        </w:numPr>
        <w:spacing w:after="0" w:before="0" w:line="240" w:lineRule="auto"/>
        <w:ind w:left="1224" w:hanging="504.00000000000006"/>
        <w:jc w:val="both"/>
        <w:rPr>
          <w:color w:val="7f207f"/>
          <w:sz w:val="24"/>
          <w:szCs w:val="24"/>
        </w:rPr>
      </w:pPr>
      <w:bookmarkStart w:colFirst="0" w:colLast="0" w:name="_47df9hiod5st" w:id="23"/>
      <w:bookmarkEnd w:id="23"/>
      <w:r w:rsidDel="00000000" w:rsidR="00000000" w:rsidRPr="00000000">
        <w:rPr>
          <w:color w:val="7f207f"/>
          <w:sz w:val="24"/>
          <w:szCs w:val="24"/>
          <w:rtl w:val="0"/>
        </w:rPr>
        <w:t xml:space="preserve">Use case: Translate documents / texts</w:t>
      </w: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Translating documents or texts can happen in different contexts:</w:t>
      </w:r>
    </w:p>
    <w:p w:rsidR="00000000" w:rsidDel="00000000" w:rsidP="00000000" w:rsidRDefault="00000000" w:rsidRPr="00000000" w14:paraId="00000096">
      <w:pPr>
        <w:numPr>
          <w:ilvl w:val="0"/>
          <w:numId w:val="5"/>
        </w:numPr>
        <w:ind w:left="720" w:hanging="360"/>
      </w:pPr>
      <w:r w:rsidDel="00000000" w:rsidR="00000000" w:rsidRPr="00000000">
        <w:rPr>
          <w:rtl w:val="0"/>
        </w:rPr>
        <w:t xml:space="preserve">One-time quick translation request</w:t>
      </w:r>
    </w:p>
    <w:p w:rsidR="00000000" w:rsidDel="00000000" w:rsidP="00000000" w:rsidRDefault="00000000" w:rsidRPr="00000000" w14:paraId="00000097">
      <w:pPr>
        <w:numPr>
          <w:ilvl w:val="0"/>
          <w:numId w:val="5"/>
        </w:numPr>
        <w:ind w:left="720" w:hanging="360"/>
      </w:pPr>
      <w:r w:rsidDel="00000000" w:rsidR="00000000" w:rsidRPr="00000000">
        <w:rPr>
          <w:rtl w:val="0"/>
        </w:rPr>
        <w:t xml:space="preserve">Addition of an “end-user” translation functionality to an application</w:t>
      </w:r>
    </w:p>
    <w:p w:rsidR="00000000" w:rsidDel="00000000" w:rsidP="00000000" w:rsidRDefault="00000000" w:rsidRPr="00000000" w14:paraId="00000098">
      <w:pPr>
        <w:numPr>
          <w:ilvl w:val="0"/>
          <w:numId w:val="5"/>
        </w:numPr>
        <w:ind w:left="720" w:hanging="360"/>
      </w:pPr>
      <w:r w:rsidDel="00000000" w:rsidR="00000000" w:rsidRPr="00000000">
        <w:rPr>
          <w:rtl w:val="0"/>
        </w:rPr>
        <w:t xml:space="preserve">Automated translation</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color w:val="1e1a34"/>
        </w:rPr>
      </w:pPr>
      <w:r w:rsidDel="00000000" w:rsidR="00000000" w:rsidRPr="00000000">
        <w:rPr>
          <w:rtl w:val="0"/>
        </w:rPr>
        <w:t xml:space="preserve">For </w:t>
      </w:r>
      <w:r w:rsidDel="00000000" w:rsidR="00000000" w:rsidRPr="00000000">
        <w:rPr>
          <w:b w:val="1"/>
          <w:rtl w:val="0"/>
        </w:rPr>
        <w:t xml:space="preserve">one-time translation requests</w:t>
      </w:r>
      <w:r w:rsidDel="00000000" w:rsidR="00000000" w:rsidRPr="00000000">
        <w:rPr>
          <w:rtl w:val="0"/>
        </w:rPr>
        <w:t xml:space="preserve">, it is recommended for the requester to visit the official tool available at </w:t>
      </w:r>
      <w:hyperlink r:id="rId13">
        <w:r w:rsidDel="00000000" w:rsidR="00000000" w:rsidRPr="00000000">
          <w:rPr>
            <w:color w:val="1155cc"/>
            <w:u w:val="single"/>
            <w:rtl w:val="0"/>
          </w:rPr>
          <w:t xml:space="preserve">https://webgate.ec.europa.eu/cas/login</w:t>
        </w:r>
      </w:hyperlink>
      <w:r w:rsidDel="00000000" w:rsidR="00000000" w:rsidRPr="00000000">
        <w:rPr>
          <w:b w:val="1"/>
          <w:color w:val="1e1a34"/>
          <w:rtl w:val="0"/>
        </w:rPr>
        <w:t xml:space="preserve"> </w:t>
      </w:r>
      <w:r w:rsidDel="00000000" w:rsidR="00000000" w:rsidRPr="00000000">
        <w:rPr>
          <w:color w:val="1e1a34"/>
          <w:rtl w:val="0"/>
        </w:rPr>
        <w:t xml:space="preserve">and to request their translation directly on the form it offers.</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In order to </w:t>
      </w:r>
      <w:r w:rsidDel="00000000" w:rsidR="00000000" w:rsidRPr="00000000">
        <w:rPr>
          <w:b w:val="1"/>
          <w:rtl w:val="0"/>
        </w:rPr>
        <w:t xml:space="preserve">add translation functionality for the end-user to an application</w:t>
      </w:r>
      <w:r w:rsidDel="00000000" w:rsidR="00000000" w:rsidRPr="00000000">
        <w:rPr>
          <w:rtl w:val="0"/>
        </w:rPr>
        <w:t xml:space="preserve">, the user interface must clearly explain to the end-user what the asynchronous aspect of the translation functionality implies. The end-user will receive their requested translation “Only when it is ready” as opposed to receiving after actively waiting upon request like they would usually expect from an online form/functionality.</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Moreover, concerns about data privacy must be addressed and transparently exposed to the end-user:</w:t>
      </w:r>
    </w:p>
    <w:p w:rsidR="00000000" w:rsidDel="00000000" w:rsidP="00000000" w:rsidRDefault="00000000" w:rsidRPr="00000000" w14:paraId="000000A0">
      <w:pPr>
        <w:numPr>
          <w:ilvl w:val="0"/>
          <w:numId w:val="6"/>
        </w:numPr>
        <w:ind w:left="720" w:hanging="360"/>
      </w:pPr>
      <w:r w:rsidDel="00000000" w:rsidR="00000000" w:rsidRPr="00000000">
        <w:rPr>
          <w:rtl w:val="0"/>
        </w:rPr>
        <w:t xml:space="preserve">Storing the original request text and/or the asynchronously received translated text implies potentially storing private data on the requesting application</w:t>
      </w:r>
    </w:p>
    <w:p w:rsidR="00000000" w:rsidDel="00000000" w:rsidP="00000000" w:rsidRDefault="00000000" w:rsidRPr="00000000" w14:paraId="000000A1">
      <w:pPr>
        <w:numPr>
          <w:ilvl w:val="0"/>
          <w:numId w:val="6"/>
        </w:numPr>
        <w:ind w:left="720" w:hanging="360"/>
      </w:pPr>
      <w:r w:rsidDel="00000000" w:rsidR="00000000" w:rsidRPr="00000000">
        <w:rPr>
          <w:rtl w:val="0"/>
        </w:rPr>
        <w:t xml:space="preserve">The eTranslate CEF building block will also store the request and translation temporarily for which the end-user must be warned as the building block then acts as a third party.</w:t>
      </w:r>
    </w:p>
    <w:p w:rsidR="00000000" w:rsidDel="00000000" w:rsidP="00000000" w:rsidRDefault="00000000" w:rsidRPr="00000000" w14:paraId="000000A2">
      <w:pPr>
        <w:rPr/>
      </w:pPr>
      <w:r w:rsidDel="00000000" w:rsidR="00000000" w:rsidRPr="00000000">
        <w:rPr>
          <w:rtl w:val="0"/>
        </w:rPr>
        <w:t xml:space="preserve">Must be noted that using only the “email” method of receiving the translation reduces the GDPR impact but does not entirely remove it.</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Similarly, </w:t>
      </w:r>
      <w:r w:rsidDel="00000000" w:rsidR="00000000" w:rsidRPr="00000000">
        <w:rPr>
          <w:b w:val="1"/>
          <w:rtl w:val="0"/>
        </w:rPr>
        <w:t xml:space="preserve">automated translation capacities</w:t>
      </w:r>
      <w:r w:rsidDel="00000000" w:rsidR="00000000" w:rsidRPr="00000000">
        <w:rPr>
          <w:rtl w:val="0"/>
        </w:rPr>
        <w:t xml:space="preserve"> added to a digitalized system have to cover the same GDPR concerns.</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Explaining the asynchronous aspect of the translation system in this automated machine-to-machine use case is not as critical as when allowing the end-user to request for translations since this use case will not raise expectations of instant results from the end-user.</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u w:val="single"/>
          <w:rtl w:val="0"/>
        </w:rPr>
        <w:t xml:space="preserve">Basic flow for such automated translations</w:t>
      </w:r>
      <w:r w:rsidDel="00000000" w:rsidR="00000000" w:rsidRPr="00000000">
        <w:rPr>
          <w:rtl w:val="0"/>
        </w:rPr>
        <w:t xml:space="preserve">:</w:t>
      </w:r>
    </w:p>
    <w:p w:rsidR="00000000" w:rsidDel="00000000" w:rsidP="00000000" w:rsidRDefault="00000000" w:rsidRPr="00000000" w14:paraId="000000AA">
      <w:pPr>
        <w:numPr>
          <w:ilvl w:val="0"/>
          <w:numId w:val="2"/>
        </w:numPr>
        <w:ind w:left="720" w:hanging="360"/>
      </w:pPr>
      <w:r w:rsidDel="00000000" w:rsidR="00000000" w:rsidRPr="00000000">
        <w:rPr>
          <w:rtl w:val="0"/>
        </w:rPr>
        <w:t xml:space="preserve">Upon creation/update of the resource to be translated: send the translation request to the eTranslate web service with the URL pointing to the functionality of handling the reception of the translation </w:t>
      </w:r>
    </w:p>
    <w:p w:rsidR="00000000" w:rsidDel="00000000" w:rsidP="00000000" w:rsidRDefault="00000000" w:rsidRPr="00000000" w14:paraId="000000AB">
      <w:pPr>
        <w:numPr>
          <w:ilvl w:val="0"/>
          <w:numId w:val="2"/>
        </w:numPr>
        <w:ind w:left="720" w:hanging="360"/>
      </w:pPr>
      <w:r w:rsidDel="00000000" w:rsidR="00000000" w:rsidRPr="00000000">
        <w:rPr>
          <w:rtl w:val="0"/>
        </w:rPr>
        <w:t xml:space="preserve">The eTranslate CEF building block, when available, computes the requested translation</w:t>
      </w:r>
    </w:p>
    <w:p w:rsidR="00000000" w:rsidDel="00000000" w:rsidP="00000000" w:rsidRDefault="00000000" w:rsidRPr="00000000" w14:paraId="000000AC">
      <w:pPr>
        <w:numPr>
          <w:ilvl w:val="0"/>
          <w:numId w:val="2"/>
        </w:numPr>
        <w:ind w:left="720" w:hanging="360"/>
      </w:pPr>
      <w:r w:rsidDel="00000000" w:rsidR="00000000" w:rsidRPr="00000000">
        <w:rPr>
          <w:rtl w:val="0"/>
        </w:rPr>
        <w:t xml:space="preserve">The eTranslate web service calls the given URL back to send the computed translation</w:t>
      </w:r>
    </w:p>
    <w:p w:rsidR="00000000" w:rsidDel="00000000" w:rsidP="00000000" w:rsidRDefault="00000000" w:rsidRPr="00000000" w14:paraId="000000AD">
      <w:pPr>
        <w:numPr>
          <w:ilvl w:val="0"/>
          <w:numId w:val="2"/>
        </w:numPr>
        <w:ind w:left="720" w:hanging="360"/>
      </w:pPr>
      <w:r w:rsidDel="00000000" w:rsidR="00000000" w:rsidRPr="00000000">
        <w:rPr>
          <w:rtl w:val="0"/>
        </w:rPr>
        <w:t xml:space="preserve">The requesting application processes the computed translation, saves it and renders it available to the end-user</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pStyle w:val="Heading3"/>
        <w:keepNext w:val="0"/>
        <w:keepLines w:val="0"/>
        <w:numPr>
          <w:ilvl w:val="2"/>
          <w:numId w:val="3"/>
        </w:numPr>
        <w:spacing w:after="0" w:before="0" w:line="240" w:lineRule="auto"/>
        <w:ind w:left="1224" w:hanging="504.00000000000006"/>
        <w:jc w:val="both"/>
        <w:rPr>
          <w:color w:val="7f207f"/>
          <w:sz w:val="24"/>
          <w:szCs w:val="24"/>
        </w:rPr>
      </w:pPr>
      <w:bookmarkStart w:colFirst="0" w:colLast="0" w:name="_eokq2tdbdnn7" w:id="24"/>
      <w:bookmarkEnd w:id="24"/>
      <w:r w:rsidDel="00000000" w:rsidR="00000000" w:rsidRPr="00000000">
        <w:rPr>
          <w:color w:val="7f207f"/>
          <w:sz w:val="24"/>
          <w:szCs w:val="24"/>
          <w:rtl w:val="0"/>
        </w:rPr>
        <w:t xml:space="preserve">Use case: Translate a website</w:t>
      </w: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The translation of a website must be separated in 2 different concepts that are handled differently and at different moments because of their nature:</w:t>
      </w:r>
    </w:p>
    <w:p w:rsidR="00000000" w:rsidDel="00000000" w:rsidP="00000000" w:rsidRDefault="00000000" w:rsidRPr="00000000" w14:paraId="000000B1">
      <w:pPr>
        <w:numPr>
          <w:ilvl w:val="0"/>
          <w:numId w:val="9"/>
        </w:numPr>
        <w:ind w:left="720" w:hanging="360"/>
      </w:pPr>
      <w:r w:rsidDel="00000000" w:rsidR="00000000" w:rsidRPr="00000000">
        <w:rPr>
          <w:rtl w:val="0"/>
        </w:rPr>
        <w:t xml:space="preserve">The </w:t>
      </w:r>
      <w:r w:rsidDel="00000000" w:rsidR="00000000" w:rsidRPr="00000000">
        <w:rPr>
          <w:b w:val="1"/>
          <w:rtl w:val="0"/>
        </w:rPr>
        <w:t xml:space="preserve">website’s literals</w:t>
      </w:r>
      <w:r w:rsidDel="00000000" w:rsidR="00000000" w:rsidRPr="00000000">
        <w:rPr>
          <w:rtl w:val="0"/>
        </w:rPr>
        <w:t xml:space="preserve"> (text belonging to the website itself, such as menu items, button labels, cookie policies, etc.) which are constant between 2 source code deployments</w:t>
      </w:r>
    </w:p>
    <w:p w:rsidR="00000000" w:rsidDel="00000000" w:rsidP="00000000" w:rsidRDefault="00000000" w:rsidRPr="00000000" w14:paraId="000000B2">
      <w:pPr>
        <w:numPr>
          <w:ilvl w:val="0"/>
          <w:numId w:val="9"/>
        </w:numPr>
        <w:ind w:left="720" w:hanging="360"/>
      </w:pPr>
      <w:r w:rsidDel="00000000" w:rsidR="00000000" w:rsidRPr="00000000">
        <w:rPr>
          <w:rtl w:val="0"/>
        </w:rPr>
        <w:t xml:space="preserve">The </w:t>
      </w:r>
      <w:r w:rsidDel="00000000" w:rsidR="00000000" w:rsidRPr="00000000">
        <w:rPr>
          <w:b w:val="1"/>
          <w:rtl w:val="0"/>
        </w:rPr>
        <w:t xml:space="preserve">website’s dynamic content</w:t>
      </w:r>
      <w:r w:rsidDel="00000000" w:rsidR="00000000" w:rsidRPr="00000000">
        <w:rPr>
          <w:rtl w:val="0"/>
        </w:rPr>
        <w:t xml:space="preserve"> (articles, comments, resources added by the end-users) which can change at any moment.</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The </w:t>
      </w:r>
      <w:r w:rsidDel="00000000" w:rsidR="00000000" w:rsidRPr="00000000">
        <w:rPr>
          <w:b w:val="1"/>
          <w:rtl w:val="0"/>
        </w:rPr>
        <w:t xml:space="preserve">translation of a website’s literals</w:t>
      </w:r>
      <w:r w:rsidDel="00000000" w:rsidR="00000000" w:rsidRPr="00000000">
        <w:rPr>
          <w:rtl w:val="0"/>
        </w:rPr>
        <w:t xml:space="preserve"> is not strongly affected by the asynchronous nature of the eTranslate web service since changes in the source code happen before deployment. It is however recommended to request the translation of those literals a few days before the predicted deployment date to give time to the CEF building block to compute the requested translations.</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Although the eTranslate web service knows how to handle the HTML format, in most of the relevant cases, the website to translate will be using dynamic languages to computes their HTML (such as PHP or ReactJS) rendering it impossible for the eTranslate web service to compute. A common best practice for multi-language websites is to only refer to translation keys in place of a website’s literals and to use a translation file, per desired language, exposing the respective translation for each of the literals keys.</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u w:val="single"/>
          <w:rtl w:val="0"/>
        </w:rPr>
        <w:t xml:space="preserve">Using this best practice, the basic flow for translation of the website’s literals is the following</w:t>
      </w:r>
      <w:r w:rsidDel="00000000" w:rsidR="00000000" w:rsidRPr="00000000">
        <w:rPr>
          <w:rtl w:val="0"/>
        </w:rPr>
        <w:t xml:space="preserve">:</w:t>
      </w:r>
    </w:p>
    <w:p w:rsidR="00000000" w:rsidDel="00000000" w:rsidP="00000000" w:rsidRDefault="00000000" w:rsidRPr="00000000" w14:paraId="000000B9">
      <w:pPr>
        <w:numPr>
          <w:ilvl w:val="0"/>
          <w:numId w:val="12"/>
        </w:numPr>
        <w:ind w:left="720" w:hanging="360"/>
      </w:pPr>
      <w:r w:rsidDel="00000000" w:rsidR="00000000" w:rsidRPr="00000000">
        <w:rPr>
          <w:rtl w:val="0"/>
        </w:rPr>
        <w:t xml:space="preserve">The application requesting translation formats the original language’s translation file’s contents to be understood by the eTranslate CEF building block (by removing the different translation keys that are potentially not human-readable)</w:t>
      </w:r>
    </w:p>
    <w:p w:rsidR="00000000" w:rsidDel="00000000" w:rsidP="00000000" w:rsidRDefault="00000000" w:rsidRPr="00000000" w14:paraId="000000BA">
      <w:pPr>
        <w:numPr>
          <w:ilvl w:val="0"/>
          <w:numId w:val="12"/>
        </w:numPr>
        <w:ind w:left="720" w:hanging="360"/>
      </w:pPr>
      <w:r w:rsidDel="00000000" w:rsidR="00000000" w:rsidRPr="00000000">
        <w:rPr>
          <w:rtl w:val="0"/>
        </w:rPr>
        <w:t xml:space="preserve">The application sends request for translation to the eTranslate web service</w:t>
      </w:r>
    </w:p>
    <w:p w:rsidR="00000000" w:rsidDel="00000000" w:rsidP="00000000" w:rsidRDefault="00000000" w:rsidRPr="00000000" w14:paraId="000000BB">
      <w:pPr>
        <w:numPr>
          <w:ilvl w:val="0"/>
          <w:numId w:val="12"/>
        </w:numPr>
        <w:ind w:left="720" w:hanging="360"/>
      </w:pPr>
      <w:r w:rsidDel="00000000" w:rsidR="00000000" w:rsidRPr="00000000">
        <w:rPr>
          <w:rtl w:val="0"/>
        </w:rPr>
        <w:t xml:space="preserve">The eTranslate CEF building block, when available, computes the requested translation</w:t>
      </w:r>
    </w:p>
    <w:p w:rsidR="00000000" w:rsidDel="00000000" w:rsidP="00000000" w:rsidRDefault="00000000" w:rsidRPr="00000000" w14:paraId="000000BC">
      <w:pPr>
        <w:numPr>
          <w:ilvl w:val="0"/>
          <w:numId w:val="12"/>
        </w:numPr>
        <w:ind w:left="720" w:hanging="360"/>
      </w:pPr>
      <w:r w:rsidDel="00000000" w:rsidR="00000000" w:rsidRPr="00000000">
        <w:rPr>
          <w:rtl w:val="0"/>
        </w:rPr>
        <w:t xml:space="preserve">The eTranslate web service calls the given URL back to send the computed translation</w:t>
      </w:r>
    </w:p>
    <w:p w:rsidR="00000000" w:rsidDel="00000000" w:rsidP="00000000" w:rsidRDefault="00000000" w:rsidRPr="00000000" w14:paraId="000000BD">
      <w:pPr>
        <w:numPr>
          <w:ilvl w:val="0"/>
          <w:numId w:val="12"/>
        </w:numPr>
        <w:ind w:left="720" w:hanging="360"/>
      </w:pPr>
      <w:r w:rsidDel="00000000" w:rsidR="00000000" w:rsidRPr="00000000">
        <w:rPr>
          <w:rtl w:val="0"/>
        </w:rPr>
        <w:t xml:space="preserve">The requesting application processes the computed translation and saves it in the format of the desired language’s translation file with the matching translation keys</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The </w:t>
      </w:r>
      <w:r w:rsidDel="00000000" w:rsidR="00000000" w:rsidRPr="00000000">
        <w:rPr>
          <w:b w:val="1"/>
          <w:rtl w:val="0"/>
        </w:rPr>
        <w:t xml:space="preserve">automated translation of the website’s dynamic content</w:t>
      </w:r>
      <w:r w:rsidDel="00000000" w:rsidR="00000000" w:rsidRPr="00000000">
        <w:rPr>
          <w:rtl w:val="0"/>
        </w:rPr>
        <w:t xml:space="preserve"> follows the basic flow presented in the “Translate documents / texts” section.</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pStyle w:val="Heading3"/>
        <w:keepNext w:val="0"/>
        <w:keepLines w:val="0"/>
        <w:numPr>
          <w:ilvl w:val="2"/>
          <w:numId w:val="3"/>
        </w:numPr>
        <w:spacing w:after="0" w:before="0" w:line="240" w:lineRule="auto"/>
        <w:ind w:left="1224" w:hanging="504.00000000000006"/>
        <w:jc w:val="both"/>
        <w:rPr>
          <w:color w:val="7f207f"/>
          <w:sz w:val="24"/>
          <w:szCs w:val="24"/>
        </w:rPr>
      </w:pPr>
      <w:bookmarkStart w:colFirst="0" w:colLast="0" w:name="_dblhi9uutw4g" w:id="25"/>
      <w:bookmarkEnd w:id="25"/>
      <w:r w:rsidDel="00000000" w:rsidR="00000000" w:rsidRPr="00000000">
        <w:rPr>
          <w:color w:val="7f207f"/>
          <w:sz w:val="24"/>
          <w:szCs w:val="24"/>
          <w:rtl w:val="0"/>
        </w:rPr>
        <w:t xml:space="preserve">Use case: Translate data templates</w:t>
      </w:r>
      <w:r w:rsidDel="00000000" w:rsidR="00000000" w:rsidRPr="00000000">
        <w:rPr>
          <w:rtl w:val="0"/>
        </w:rPr>
      </w:r>
    </w:p>
    <w:p w:rsidR="00000000" w:rsidDel="00000000" w:rsidP="00000000" w:rsidRDefault="00000000" w:rsidRPr="00000000" w14:paraId="000000C2">
      <w:pPr>
        <w:spacing w:line="240" w:lineRule="auto"/>
        <w:jc w:val="both"/>
        <w:rPr>
          <w:color w:val="1e1a34"/>
        </w:rPr>
      </w:pPr>
      <w:r w:rsidDel="00000000" w:rsidR="00000000" w:rsidRPr="00000000">
        <w:rPr>
          <w:color w:val="1e1a34"/>
          <w:rtl w:val="0"/>
        </w:rPr>
        <w:t xml:space="preserve">This use case is the most straightforward since data templates such as Learning agreements and Transcript of records use very well known and constant vocabulary.</w:t>
      </w:r>
    </w:p>
    <w:p w:rsidR="00000000" w:rsidDel="00000000" w:rsidP="00000000" w:rsidRDefault="00000000" w:rsidRPr="00000000" w14:paraId="000000C3">
      <w:pPr>
        <w:spacing w:line="240" w:lineRule="auto"/>
        <w:jc w:val="both"/>
        <w:rPr>
          <w:color w:val="1e1a34"/>
        </w:rPr>
      </w:pPr>
      <w:r w:rsidDel="00000000" w:rsidR="00000000" w:rsidRPr="00000000">
        <w:rPr>
          <w:rtl w:val="0"/>
        </w:rPr>
      </w:r>
    </w:p>
    <w:p w:rsidR="00000000" w:rsidDel="00000000" w:rsidP="00000000" w:rsidRDefault="00000000" w:rsidRPr="00000000" w14:paraId="000000C4">
      <w:pPr>
        <w:spacing w:line="240" w:lineRule="auto"/>
        <w:jc w:val="both"/>
        <w:rPr>
          <w:color w:val="1e1a34"/>
        </w:rPr>
      </w:pPr>
      <w:r w:rsidDel="00000000" w:rsidR="00000000" w:rsidRPr="00000000">
        <w:rPr>
          <w:color w:val="1e1a34"/>
          <w:rtl w:val="0"/>
        </w:rPr>
        <w:t xml:space="preserve">Because of this, even if the </w:t>
      </w:r>
      <w:r w:rsidDel="00000000" w:rsidR="00000000" w:rsidRPr="00000000">
        <w:rPr>
          <w:i w:val="1"/>
          <w:color w:val="1e1a34"/>
          <w:rtl w:val="0"/>
        </w:rPr>
        <w:t xml:space="preserve">eTranslate CEF building block</w:t>
      </w:r>
      <w:r w:rsidDel="00000000" w:rsidR="00000000" w:rsidRPr="00000000">
        <w:rPr>
          <w:color w:val="1e1a34"/>
          <w:rtl w:val="0"/>
        </w:rPr>
        <w:t xml:space="preserve"> would be used manually in order to translate those templates, the manual labor would be minimal and the translation results would be expected to be very close to perfection.</w:t>
      </w:r>
    </w:p>
    <w:p w:rsidR="00000000" w:rsidDel="00000000" w:rsidP="00000000" w:rsidRDefault="00000000" w:rsidRPr="00000000" w14:paraId="000000C5">
      <w:pPr>
        <w:pStyle w:val="Title"/>
        <w:rPr>
          <w:b w:val="1"/>
          <w:color w:val="1e1a34"/>
          <w:sz w:val="22"/>
          <w:szCs w:val="22"/>
        </w:rPr>
      </w:pPr>
      <w:bookmarkStart w:colFirst="0" w:colLast="0" w:name="_66csa6mthkye" w:id="26"/>
      <w:bookmarkEnd w:id="26"/>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color w:val="7f207f"/>
          <w:sz w:val="28"/>
          <w:szCs w:val="28"/>
        </w:rPr>
      </w:pPr>
      <w:r w:rsidDel="00000000" w:rsidR="00000000" w:rsidRPr="00000000">
        <w:rPr>
          <w:rtl w:val="0"/>
        </w:rPr>
      </w:r>
    </w:p>
    <w:p w:rsidR="00000000" w:rsidDel="00000000" w:rsidP="00000000" w:rsidRDefault="00000000" w:rsidRPr="00000000" w14:paraId="000000C9">
      <w:pPr>
        <w:rPr>
          <w:b w:val="1"/>
          <w:color w:val="1cadb8"/>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CA">
      <w:pPr>
        <w:pStyle w:val="Heading1"/>
        <w:keepNext w:val="0"/>
        <w:keepLines w:val="0"/>
        <w:numPr>
          <w:ilvl w:val="0"/>
          <w:numId w:val="3"/>
        </w:numPr>
        <w:spacing w:after="0" w:before="0" w:line="240" w:lineRule="auto"/>
        <w:ind w:left="360"/>
        <w:rPr>
          <w:b w:val="1"/>
          <w:color w:val="1cadb8"/>
          <w:sz w:val="32"/>
          <w:szCs w:val="32"/>
        </w:rPr>
      </w:pPr>
      <w:bookmarkStart w:colFirst="0" w:colLast="0" w:name="_3p071jko209w" w:id="27"/>
      <w:bookmarkEnd w:id="27"/>
      <w:r w:rsidDel="00000000" w:rsidR="00000000" w:rsidRPr="00000000">
        <w:rPr>
          <w:b w:val="1"/>
          <w:color w:val="1cadb8"/>
          <w:sz w:val="32"/>
          <w:szCs w:val="32"/>
          <w:rtl w:val="0"/>
        </w:rPr>
        <w:t xml:space="preserve">The student housing web application proof-of-concept</w:t>
      </w: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The task “MS2.5 Housing web application proof-of-concept” aims to develop a proof-of-concept of a web-based application managing use cases related to housing for international students.</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This proof-of-concept’s main use cases were scoped to the following:</w:t>
      </w:r>
    </w:p>
    <w:p w:rsidR="00000000" w:rsidDel="00000000" w:rsidP="00000000" w:rsidRDefault="00000000" w:rsidRPr="00000000" w14:paraId="000000CE">
      <w:pPr>
        <w:numPr>
          <w:ilvl w:val="0"/>
          <w:numId w:val="1"/>
        </w:numPr>
        <w:ind w:left="720" w:hanging="360"/>
      </w:pPr>
      <w:r w:rsidDel="00000000" w:rsidR="00000000" w:rsidRPr="00000000">
        <w:rPr>
          <w:rtl w:val="0"/>
        </w:rPr>
        <w:t xml:space="preserve">Log in to the application with academic credentials</w:t>
      </w:r>
    </w:p>
    <w:p w:rsidR="00000000" w:rsidDel="00000000" w:rsidP="00000000" w:rsidRDefault="00000000" w:rsidRPr="00000000" w14:paraId="000000CF">
      <w:pPr>
        <w:numPr>
          <w:ilvl w:val="0"/>
          <w:numId w:val="1"/>
        </w:numPr>
        <w:ind w:left="720" w:hanging="360"/>
      </w:pPr>
      <w:r w:rsidDel="00000000" w:rsidR="00000000" w:rsidRPr="00000000">
        <w:rPr>
          <w:rtl w:val="0"/>
        </w:rPr>
        <w:t xml:space="preserve">Search through a list of accommodations with potential filtering/sorting</w:t>
      </w:r>
    </w:p>
    <w:p w:rsidR="00000000" w:rsidDel="00000000" w:rsidP="00000000" w:rsidRDefault="00000000" w:rsidRPr="00000000" w14:paraId="000000D0">
      <w:pPr>
        <w:numPr>
          <w:ilvl w:val="0"/>
          <w:numId w:val="1"/>
        </w:numPr>
        <w:ind w:left="720" w:hanging="360"/>
        <w:rPr>
          <w:b w:val="1"/>
        </w:rPr>
      </w:pPr>
      <w:r w:rsidDel="00000000" w:rsidR="00000000" w:rsidRPr="00000000">
        <w:rPr>
          <w:b w:val="1"/>
          <w:rtl w:val="0"/>
        </w:rPr>
        <w:t xml:space="preserve">Generate a rental contract based on accommodation offer</w:t>
      </w:r>
    </w:p>
    <w:p w:rsidR="00000000" w:rsidDel="00000000" w:rsidP="00000000" w:rsidRDefault="00000000" w:rsidRPr="00000000" w14:paraId="000000D1">
      <w:pPr>
        <w:numPr>
          <w:ilvl w:val="0"/>
          <w:numId w:val="1"/>
        </w:numPr>
        <w:ind w:left="720" w:hanging="360"/>
        <w:rPr>
          <w:b w:val="1"/>
        </w:rPr>
      </w:pPr>
      <w:r w:rsidDel="00000000" w:rsidR="00000000" w:rsidRPr="00000000">
        <w:rPr>
          <w:b w:val="1"/>
          <w:rtl w:val="0"/>
        </w:rPr>
        <w:t xml:space="preserve">Sign generated contract using e-signature</w:t>
      </w:r>
    </w:p>
    <w:p w:rsidR="00000000" w:rsidDel="00000000" w:rsidP="00000000" w:rsidRDefault="00000000" w:rsidRPr="00000000" w14:paraId="000000D2">
      <w:pPr>
        <w:rPr/>
      </w:pPr>
      <w:r w:rsidDel="00000000" w:rsidR="00000000" w:rsidRPr="00000000">
        <w:rPr>
          <w:rtl w:val="0"/>
        </w:rPr>
        <w:t xml:space="preserve">The two latter use cases are the outputs with the most value for this housing web application proof-of-concept.</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iho5ins4cnhi" w:id="28"/>
      <w:bookmarkEnd w:id="28"/>
      <w:r w:rsidDel="00000000" w:rsidR="00000000" w:rsidRPr="00000000">
        <w:rPr>
          <w:color w:val="7f207f"/>
          <w:sz w:val="28"/>
          <w:szCs w:val="28"/>
          <w:rtl w:val="0"/>
        </w:rPr>
        <w:t xml:space="preserve">Compatibility with the Erasmus+ App</w:t>
      </w:r>
    </w:p>
    <w:p w:rsidR="00000000" w:rsidDel="00000000" w:rsidP="00000000" w:rsidRDefault="00000000" w:rsidRPr="00000000" w14:paraId="000000D5">
      <w:pPr>
        <w:pStyle w:val="Title"/>
        <w:rPr/>
      </w:pPr>
      <w:bookmarkStart w:colFirst="0" w:colLast="0" w:name="_tjicwblkmkf1" w:id="29"/>
      <w:bookmarkEnd w:id="29"/>
      <w:r w:rsidDel="00000000" w:rsidR="00000000" w:rsidRPr="00000000">
        <w:rPr>
          <w:b w:val="1"/>
          <w:color w:val="1e1a34"/>
          <w:sz w:val="22"/>
          <w:szCs w:val="22"/>
          <w:rtl w:val="0"/>
        </w:rPr>
        <w:t xml:space="preserve">The Erasmus+ App and the HOME project</w:t>
      </w: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The Erasmus+ App’s purpose is to become the central point for digital functionalities related to students' international mobilities. It includes its own “housing search tool” developed during the </w:t>
      </w:r>
      <w:r w:rsidDel="00000000" w:rsidR="00000000" w:rsidRPr="00000000">
        <w:rPr>
          <w:i w:val="1"/>
          <w:rtl w:val="0"/>
        </w:rPr>
        <w:t xml:space="preserve">HOME project</w:t>
      </w:r>
      <w:r w:rsidDel="00000000" w:rsidR="00000000" w:rsidRPr="00000000">
        <w:rPr>
          <w:rtl w:val="0"/>
        </w:rPr>
        <w:t xml:space="preserve">. Based on the HOME research, this project delivered:</w:t>
      </w:r>
    </w:p>
    <w:p w:rsidR="00000000" w:rsidDel="00000000" w:rsidP="00000000" w:rsidRDefault="00000000" w:rsidRPr="00000000" w14:paraId="000000D7">
      <w:pPr>
        <w:numPr>
          <w:ilvl w:val="0"/>
          <w:numId w:val="8"/>
        </w:numPr>
        <w:ind w:left="720" w:hanging="360"/>
      </w:pPr>
      <w:r w:rsidDel="00000000" w:rsidR="00000000" w:rsidRPr="00000000">
        <w:rPr>
          <w:rtl w:val="0"/>
        </w:rPr>
        <w:t xml:space="preserve">A list of normalized quality labels for international student housing offers calculable using the fields present in the DDS,</w:t>
      </w:r>
    </w:p>
    <w:p w:rsidR="00000000" w:rsidDel="00000000" w:rsidP="00000000" w:rsidRDefault="00000000" w:rsidRPr="00000000" w14:paraId="000000D8">
      <w:pPr>
        <w:numPr>
          <w:ilvl w:val="0"/>
          <w:numId w:val="8"/>
        </w:numPr>
        <w:ind w:left="720" w:hanging="360"/>
      </w:pPr>
      <w:r w:rsidDel="00000000" w:rsidR="00000000" w:rsidRPr="00000000">
        <w:rPr>
          <w:rtl w:val="0"/>
        </w:rPr>
        <w:t xml:space="preserve">a </w:t>
      </w:r>
      <w:r w:rsidDel="00000000" w:rsidR="00000000" w:rsidRPr="00000000">
        <w:rPr>
          <w:b w:val="1"/>
          <w:rtl w:val="0"/>
        </w:rPr>
        <w:t xml:space="preserve">Digital Data Standard</w:t>
      </w:r>
      <w:r w:rsidDel="00000000" w:rsidR="00000000" w:rsidRPr="00000000">
        <w:rPr>
          <w:rtl w:val="0"/>
        </w:rPr>
        <w:t xml:space="preserve"> representing the format, including both required and optional fields, to describe a housing offer for an international student,</w:t>
      </w:r>
    </w:p>
    <w:p w:rsidR="00000000" w:rsidDel="00000000" w:rsidP="00000000" w:rsidRDefault="00000000" w:rsidRPr="00000000" w14:paraId="000000D9">
      <w:pPr>
        <w:numPr>
          <w:ilvl w:val="0"/>
          <w:numId w:val="8"/>
        </w:numPr>
        <w:ind w:left="720" w:hanging="360"/>
      </w:pPr>
      <w:r w:rsidDel="00000000" w:rsidR="00000000" w:rsidRPr="00000000">
        <w:rPr>
          <w:rtl w:val="0"/>
        </w:rPr>
        <w:t xml:space="preserve">a set of digital tools based on the results of such research.</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color w:val="7f207f"/>
          <w:sz w:val="24"/>
          <w:szCs w:val="24"/>
        </w:rPr>
      </w:pPr>
      <w:r w:rsidDel="00000000" w:rsidR="00000000" w:rsidRPr="00000000">
        <w:rPr>
          <w:rtl w:val="0"/>
        </w:rPr>
        <w:t xml:space="preserve">The Erasmus+ App’s “housing search tool” shares many common requirements with the </w:t>
      </w:r>
      <w:r w:rsidDel="00000000" w:rsidR="00000000" w:rsidRPr="00000000">
        <w:rPr>
          <w:i w:val="1"/>
          <w:rtl w:val="0"/>
        </w:rPr>
        <w:t xml:space="preserve">student housing web application proof-of-concept</w:t>
      </w:r>
      <w:r w:rsidDel="00000000" w:rsidR="00000000" w:rsidRPr="00000000">
        <w:rPr>
          <w:rtl w:val="0"/>
        </w:rPr>
        <w:t xml:space="preserve"> developed within the EDSSI L2 project. Therefore, efforts have been set in place to enhance compatibility and cooperation between the 2 projects.</w:t>
      </w:r>
      <w:r w:rsidDel="00000000" w:rsidR="00000000" w:rsidRPr="00000000">
        <w:rPr>
          <w:rtl w:val="0"/>
        </w:rPr>
      </w:r>
    </w:p>
    <w:p w:rsidR="00000000" w:rsidDel="00000000" w:rsidP="00000000" w:rsidRDefault="00000000" w:rsidRPr="00000000" w14:paraId="000000DC">
      <w:pPr>
        <w:spacing w:line="240" w:lineRule="auto"/>
        <w:jc w:val="both"/>
        <w:rPr>
          <w:color w:val="1e1a34"/>
          <w:sz w:val="21"/>
          <w:szCs w:val="21"/>
        </w:rPr>
      </w:pPr>
      <w:r w:rsidDel="00000000" w:rsidR="00000000" w:rsidRPr="00000000">
        <w:rPr>
          <w:rtl w:val="0"/>
        </w:rPr>
      </w:r>
    </w:p>
    <w:p w:rsidR="00000000" w:rsidDel="00000000" w:rsidP="00000000" w:rsidRDefault="00000000" w:rsidRPr="00000000" w14:paraId="000000DD">
      <w:pPr>
        <w:pStyle w:val="Title"/>
        <w:rPr>
          <w:b w:val="1"/>
          <w:color w:val="1e1a34"/>
          <w:sz w:val="22"/>
          <w:szCs w:val="22"/>
        </w:rPr>
      </w:pPr>
      <w:bookmarkStart w:colFirst="0" w:colLast="0" w:name="_xtqz8go08knt" w:id="30"/>
      <w:bookmarkEnd w:id="30"/>
      <w:r w:rsidDel="00000000" w:rsidR="00000000" w:rsidRPr="00000000">
        <w:rPr>
          <w:b w:val="1"/>
          <w:color w:val="1e1a34"/>
          <w:sz w:val="22"/>
          <w:szCs w:val="22"/>
          <w:rtl w:val="0"/>
        </w:rPr>
        <w:t xml:space="preserve">Representing offers using the Erasmus+ App’s HOME Digital Data Standard</w:t>
      </w:r>
    </w:p>
    <w:p w:rsidR="00000000" w:rsidDel="00000000" w:rsidP="00000000" w:rsidRDefault="00000000" w:rsidRPr="00000000" w14:paraId="000000DE">
      <w:pPr>
        <w:rPr/>
      </w:pPr>
      <w:r w:rsidDel="00000000" w:rsidR="00000000" w:rsidRPr="00000000">
        <w:rPr>
          <w:rtl w:val="0"/>
        </w:rPr>
        <w:t xml:space="preserve">The HOME Digital Data Standard (DDS hereafter) aims to provide a common format for the representation of housing offers within the whole interoperability infrastructure. With a common format, compatibility between systems is automatically ensured.</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Within the implementation of the </w:t>
      </w:r>
      <w:r w:rsidDel="00000000" w:rsidR="00000000" w:rsidRPr="00000000">
        <w:rPr>
          <w:i w:val="1"/>
          <w:rtl w:val="0"/>
        </w:rPr>
        <w:t xml:space="preserve">housing web application proof-of-concept</w:t>
      </w:r>
      <w:r w:rsidDel="00000000" w:rsidR="00000000" w:rsidRPr="00000000">
        <w:rPr>
          <w:rtl w:val="0"/>
        </w:rPr>
        <w:t xml:space="preserve">, the use of the DDS to represent housing offers enables two very interesting possible implementations in the future:</w:t>
      </w:r>
    </w:p>
    <w:p w:rsidR="00000000" w:rsidDel="00000000" w:rsidP="00000000" w:rsidRDefault="00000000" w:rsidRPr="00000000" w14:paraId="000000E1">
      <w:pPr>
        <w:numPr>
          <w:ilvl w:val="0"/>
          <w:numId w:val="10"/>
        </w:numPr>
        <w:ind w:left="720" w:hanging="360"/>
      </w:pPr>
      <w:r w:rsidDel="00000000" w:rsidR="00000000" w:rsidRPr="00000000">
        <w:rPr>
          <w:rtl w:val="0"/>
        </w:rPr>
        <w:t xml:space="preserve">Possibility to use the HOME API within the </w:t>
      </w:r>
      <w:r w:rsidDel="00000000" w:rsidR="00000000" w:rsidRPr="00000000">
        <w:rPr>
          <w:i w:val="1"/>
          <w:rtl w:val="0"/>
        </w:rPr>
        <w:t xml:space="preserve">housing web application proof-of-concept</w:t>
      </w:r>
      <w:r w:rsidDel="00000000" w:rsidR="00000000" w:rsidRPr="00000000">
        <w:rPr>
          <w:rtl w:val="0"/>
        </w:rPr>
        <w:t xml:space="preserve"> to recover and expose housing data (should the legal framework allow for it),</w:t>
      </w:r>
    </w:p>
    <w:p w:rsidR="00000000" w:rsidDel="00000000" w:rsidP="00000000" w:rsidRDefault="00000000" w:rsidRPr="00000000" w14:paraId="000000E2">
      <w:pPr>
        <w:numPr>
          <w:ilvl w:val="0"/>
          <w:numId w:val="10"/>
        </w:numPr>
        <w:ind w:left="720" w:hanging="360"/>
      </w:pPr>
      <w:r w:rsidDel="00000000" w:rsidR="00000000" w:rsidRPr="00000000">
        <w:rPr>
          <w:rtl w:val="0"/>
        </w:rPr>
        <w:t xml:space="preserve">Addition of the rental contract generator with e-signature in the </w:t>
      </w:r>
      <w:r w:rsidDel="00000000" w:rsidR="00000000" w:rsidRPr="00000000">
        <w:rPr>
          <w:i w:val="1"/>
          <w:rtl w:val="0"/>
        </w:rPr>
        <w:t xml:space="preserve">Erasmus+ App</w:t>
      </w:r>
      <w:r w:rsidDel="00000000" w:rsidR="00000000" w:rsidRPr="00000000">
        <w:rPr>
          <w:rtl w:val="0"/>
        </w:rPr>
        <w:t xml:space="preserve">.</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6ofj05yq0k3" w:id="31"/>
      <w:bookmarkEnd w:id="31"/>
      <w:r w:rsidDel="00000000" w:rsidR="00000000" w:rsidRPr="00000000">
        <w:rPr>
          <w:color w:val="7f207f"/>
          <w:sz w:val="28"/>
          <w:szCs w:val="28"/>
          <w:rtl w:val="0"/>
        </w:rPr>
        <w:t xml:space="preserve">Log in using academic credentials via MyAcademicId</w:t>
      </w:r>
      <w:r w:rsidDel="00000000" w:rsidR="00000000" w:rsidRPr="00000000">
        <w:rPr>
          <w:rtl w:val="0"/>
        </w:rPr>
      </w:r>
    </w:p>
    <w:p w:rsidR="00000000" w:rsidDel="00000000" w:rsidP="00000000" w:rsidRDefault="00000000" w:rsidRPr="00000000" w14:paraId="000000E5">
      <w:pPr>
        <w:rPr>
          <w:color w:val="7f207f"/>
          <w:sz w:val="24"/>
          <w:szCs w:val="24"/>
        </w:rPr>
      </w:pPr>
      <w:r w:rsidDel="00000000" w:rsidR="00000000" w:rsidRPr="00000000">
        <w:rPr>
          <w:color w:val="e69138"/>
          <w:rtl w:val="0"/>
        </w:rPr>
        <w:t xml:space="preserve">To be completed after reading specs / documentation of the housing PoC</w:t>
      </w: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e66bor3j1j8k" w:id="32"/>
      <w:bookmarkEnd w:id="32"/>
      <w:r w:rsidDel="00000000" w:rsidR="00000000" w:rsidRPr="00000000">
        <w:rPr>
          <w:color w:val="7f207f"/>
          <w:sz w:val="28"/>
          <w:szCs w:val="28"/>
          <w:rtl w:val="0"/>
        </w:rPr>
        <w:t xml:space="preserve">Sign contract using eSignature</w:t>
      </w:r>
      <w:r w:rsidDel="00000000" w:rsidR="00000000" w:rsidRPr="00000000">
        <w:rPr>
          <w:rtl w:val="0"/>
        </w:rPr>
      </w:r>
    </w:p>
    <w:p w:rsidR="00000000" w:rsidDel="00000000" w:rsidP="00000000" w:rsidRDefault="00000000" w:rsidRPr="00000000" w14:paraId="000000E8">
      <w:pPr>
        <w:rPr>
          <w:color w:val="e69138"/>
        </w:rPr>
      </w:pPr>
      <w:r w:rsidDel="00000000" w:rsidR="00000000" w:rsidRPr="00000000">
        <w:rPr>
          <w:color w:val="e69138"/>
          <w:rtl w:val="0"/>
        </w:rPr>
        <w:t xml:space="preserve">To be completed after reading specs / documentation of the housing PoC</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x951h4l04lps" w:id="33"/>
      <w:bookmarkEnd w:id="33"/>
      <w:r w:rsidDel="00000000" w:rsidR="00000000" w:rsidRPr="00000000">
        <w:rPr>
          <w:color w:val="7f207f"/>
          <w:sz w:val="28"/>
          <w:szCs w:val="28"/>
          <w:rtl w:val="0"/>
        </w:rPr>
        <w:t xml:space="preserve">Recommendations on usage of the student housing web application proof-of-concept</w:t>
      </w:r>
      <w:r w:rsidDel="00000000" w:rsidR="00000000" w:rsidRPr="00000000">
        <w:rPr>
          <w:rtl w:val="0"/>
        </w:rPr>
      </w:r>
    </w:p>
    <w:p w:rsidR="00000000" w:rsidDel="00000000" w:rsidP="00000000" w:rsidRDefault="00000000" w:rsidRPr="00000000" w14:paraId="000000EB">
      <w:pPr>
        <w:pStyle w:val="Heading3"/>
        <w:keepNext w:val="0"/>
        <w:keepLines w:val="0"/>
        <w:spacing w:after="0" w:before="0" w:line="240" w:lineRule="auto"/>
        <w:jc w:val="both"/>
        <w:rPr>
          <w:b w:val="1"/>
          <w:color w:val="1cadb8"/>
          <w:sz w:val="32"/>
          <w:szCs w:val="32"/>
        </w:rPr>
      </w:pPr>
      <w:bookmarkStart w:colFirst="0" w:colLast="0" w:name="_exz6b2ln9jnk" w:id="34"/>
      <w:bookmarkEnd w:id="34"/>
      <w:r w:rsidDel="00000000" w:rsidR="00000000" w:rsidRPr="00000000">
        <w:rPr>
          <w:color w:val="e69138"/>
          <w:sz w:val="22"/>
          <w:szCs w:val="22"/>
          <w:rtl w:val="0"/>
        </w:rPr>
        <w:t xml:space="preserve">To be completed after reading specs / documentation of the housing PoC</w:t>
      </w:r>
      <w:r w:rsidDel="00000000" w:rsidR="00000000" w:rsidRPr="00000000">
        <w:br w:type="page"/>
      </w:r>
      <w:r w:rsidDel="00000000" w:rsidR="00000000" w:rsidRPr="00000000">
        <w:rPr>
          <w:rtl w:val="0"/>
        </w:rPr>
      </w:r>
    </w:p>
    <w:p w:rsidR="00000000" w:rsidDel="00000000" w:rsidP="00000000" w:rsidRDefault="00000000" w:rsidRPr="00000000" w14:paraId="000000EC">
      <w:pPr>
        <w:pStyle w:val="Heading1"/>
        <w:keepNext w:val="0"/>
        <w:keepLines w:val="0"/>
        <w:numPr>
          <w:ilvl w:val="0"/>
          <w:numId w:val="3"/>
        </w:numPr>
        <w:spacing w:after="0" w:before="0" w:line="240" w:lineRule="auto"/>
        <w:ind w:left="360"/>
        <w:rPr>
          <w:b w:val="1"/>
          <w:color w:val="1cadb8"/>
          <w:sz w:val="32"/>
          <w:szCs w:val="32"/>
        </w:rPr>
      </w:pPr>
      <w:bookmarkStart w:colFirst="0" w:colLast="0" w:name="_hxo6kk9jnx6l" w:id="35"/>
      <w:bookmarkEnd w:id="35"/>
      <w:r w:rsidDel="00000000" w:rsidR="00000000" w:rsidRPr="00000000">
        <w:rPr>
          <w:b w:val="1"/>
          <w:color w:val="1cadb8"/>
          <w:sz w:val="32"/>
          <w:szCs w:val="32"/>
          <w:rtl w:val="0"/>
        </w:rPr>
        <w:t xml:space="preserve">Activity 1’s eCard app</w:t>
      </w:r>
      <w:r w:rsidDel="00000000" w:rsidR="00000000" w:rsidRPr="00000000">
        <w:rPr>
          <w:rtl w:val="0"/>
        </w:rPr>
      </w:r>
    </w:p>
    <w:p w:rsidR="00000000" w:rsidDel="00000000" w:rsidP="00000000" w:rsidRDefault="00000000" w:rsidRPr="00000000" w14:paraId="000000ED">
      <w:pPr>
        <w:rPr>
          <w:color w:val="e69138"/>
        </w:rPr>
      </w:pPr>
      <w:r w:rsidDel="00000000" w:rsidR="00000000" w:rsidRPr="00000000">
        <w:rPr>
          <w:color w:val="e69138"/>
          <w:rtl w:val="0"/>
        </w:rPr>
        <w:t xml:space="preserve">To be completed… Should we even have this in the report?</w:t>
      </w:r>
    </w:p>
    <w:p w:rsidR="00000000" w:rsidDel="00000000" w:rsidP="00000000" w:rsidRDefault="00000000" w:rsidRPr="00000000" w14:paraId="000000EE">
      <w:pPr>
        <w:rPr>
          <w:color w:val="e69138"/>
        </w:rPr>
      </w:pPr>
      <w:r w:rsidDel="00000000" w:rsidR="00000000" w:rsidRPr="00000000">
        <w:rPr>
          <w:rtl w:val="0"/>
        </w:rPr>
      </w:r>
    </w:p>
    <w:p w:rsidR="00000000" w:rsidDel="00000000" w:rsidP="00000000" w:rsidRDefault="00000000" w:rsidRPr="00000000" w14:paraId="000000EF">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3a2k63uo337o" w:id="36"/>
      <w:bookmarkEnd w:id="36"/>
      <w:r w:rsidDel="00000000" w:rsidR="00000000" w:rsidRPr="00000000">
        <w:rPr>
          <w:color w:val="7f207f"/>
          <w:sz w:val="28"/>
          <w:szCs w:val="28"/>
          <w:rtl w:val="0"/>
        </w:rPr>
        <w:t xml:space="preserve">Compatibility with eIDAS</w:t>
      </w:r>
      <w:r w:rsidDel="00000000" w:rsidR="00000000" w:rsidRPr="00000000">
        <w:rPr>
          <w:rtl w:val="0"/>
        </w:rPr>
      </w:r>
    </w:p>
    <w:p w:rsidR="00000000" w:rsidDel="00000000" w:rsidP="00000000" w:rsidRDefault="00000000" w:rsidRPr="00000000" w14:paraId="000000F0">
      <w:pPr>
        <w:rPr>
          <w:color w:val="e69138"/>
        </w:rPr>
      </w:pPr>
      <w:r w:rsidDel="00000000" w:rsidR="00000000" w:rsidRPr="00000000">
        <w:rPr>
          <w:color w:val="e69138"/>
          <w:rtl w:val="0"/>
        </w:rPr>
        <w:t xml:space="preserve">To be completed…</w:t>
      </w:r>
    </w:p>
    <w:p w:rsidR="00000000" w:rsidDel="00000000" w:rsidP="00000000" w:rsidRDefault="00000000" w:rsidRPr="00000000" w14:paraId="000000F1">
      <w:pPr>
        <w:rPr>
          <w:color w:val="e69138"/>
        </w:rPr>
      </w:pPr>
      <w:r w:rsidDel="00000000" w:rsidR="00000000" w:rsidRPr="00000000">
        <w:rPr>
          <w:color w:val="e69138"/>
          <w:rtl w:val="0"/>
        </w:rPr>
        <w:t xml:space="preserve">Add something about Activity 1 ecard (the ecard app, if ever put in production, and if  the SSP modules is fully functional, should figure on the SSP lists of each university if they allow/implement it)</w:t>
      </w:r>
    </w:p>
    <w:p w:rsidR="00000000" w:rsidDel="00000000" w:rsidP="00000000" w:rsidRDefault="00000000" w:rsidRPr="00000000" w14:paraId="000000F2">
      <w:pPr>
        <w:rPr>
          <w:color w:val="e69138"/>
        </w:rPr>
      </w:pPr>
      <w:r w:rsidDel="00000000" w:rsidR="00000000" w:rsidRPr="00000000">
        <w:rPr>
          <w:rtl w:val="0"/>
        </w:rPr>
      </w:r>
    </w:p>
    <w:p w:rsidR="00000000" w:rsidDel="00000000" w:rsidP="00000000" w:rsidRDefault="00000000" w:rsidRPr="00000000" w14:paraId="000000F3">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c1xexpd35nph" w:id="37"/>
      <w:bookmarkEnd w:id="37"/>
      <w:r w:rsidDel="00000000" w:rsidR="00000000" w:rsidRPr="00000000">
        <w:rPr>
          <w:color w:val="7f207f"/>
          <w:sz w:val="28"/>
          <w:szCs w:val="28"/>
          <w:rtl w:val="0"/>
        </w:rPr>
        <w:t xml:space="preserve">Recommendations on eCard app usage</w:t>
      </w:r>
      <w:r w:rsidDel="00000000" w:rsidR="00000000" w:rsidRPr="00000000">
        <w:rPr>
          <w:rtl w:val="0"/>
        </w:rPr>
      </w:r>
    </w:p>
    <w:p w:rsidR="00000000" w:rsidDel="00000000" w:rsidP="00000000" w:rsidRDefault="00000000" w:rsidRPr="00000000" w14:paraId="000000F4">
      <w:pPr>
        <w:rPr>
          <w:color w:val="e69138"/>
        </w:rPr>
      </w:pPr>
      <w:r w:rsidDel="00000000" w:rsidR="00000000" w:rsidRPr="00000000">
        <w:rPr>
          <w:color w:val="e69138"/>
          <w:rtl w:val="0"/>
        </w:rPr>
        <w:t xml:space="preserve">To be completed…</w:t>
      </w:r>
    </w:p>
    <w:p w:rsidR="00000000" w:rsidDel="00000000" w:rsidP="00000000" w:rsidRDefault="00000000" w:rsidRPr="00000000" w14:paraId="000000F5">
      <w:pPr>
        <w:pStyle w:val="Heading3"/>
        <w:keepNext w:val="0"/>
        <w:keepLines w:val="0"/>
        <w:spacing w:after="0" w:before="0" w:line="240" w:lineRule="auto"/>
        <w:jc w:val="both"/>
        <w:rPr>
          <w:color w:val="e69138"/>
        </w:rPr>
      </w:pPr>
      <w:bookmarkStart w:colFirst="0" w:colLast="0" w:name="_4ozhxu4ivt9a" w:id="38"/>
      <w:bookmarkEnd w:id="38"/>
      <w:r w:rsidDel="00000000" w:rsidR="00000000" w:rsidRPr="00000000">
        <w:rPr>
          <w:rtl w:val="0"/>
        </w:rPr>
      </w:r>
    </w:p>
    <w:p w:rsidR="00000000" w:rsidDel="00000000" w:rsidP="00000000" w:rsidRDefault="00000000" w:rsidRPr="00000000" w14:paraId="000000F6">
      <w:pPr>
        <w:rPr/>
      </w:pPr>
      <w:r w:rsidDel="00000000" w:rsidR="00000000" w:rsidRPr="00000000">
        <w:rPr>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0F7">
      <w:pPr>
        <w:widowControl w:val="0"/>
        <w:spacing w:line="276" w:lineRule="auto"/>
        <w:rPr>
          <w:color w:val="1e1a34"/>
          <w:sz w:val="21"/>
          <w:szCs w:val="21"/>
        </w:rPr>
      </w:pPr>
      <w:r w:rsidDel="00000000" w:rsidR="00000000" w:rsidRPr="00000000">
        <w:rPr>
          <w:rtl w:val="0"/>
        </w:rPr>
      </w:r>
    </w:p>
    <w:tbl>
      <w:tblPr>
        <w:tblStyle w:val="Table2"/>
        <w:tblW w:w="901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010"/>
        <w:tblGridChange w:id="0">
          <w:tblGrid>
            <w:gridCol w:w="9010"/>
          </w:tblGrid>
        </w:tblGridChange>
      </w:tblGrid>
      <w:tr>
        <w:trPr>
          <w:cantSplit w:val="0"/>
          <w:trHeight w:val="8222" w:hRule="atLeast"/>
          <w:tblHeader w:val="0"/>
        </w:trPr>
        <w:tc>
          <w:tcPr>
            <w:vAlign w:val="bottom"/>
          </w:tcPr>
          <w:p w:rsidR="00000000" w:rsidDel="00000000" w:rsidP="00000000" w:rsidRDefault="00000000" w:rsidRPr="00000000" w14:paraId="000000F8">
            <w:pPr>
              <w:keepNext w:val="1"/>
              <w:keepLines w:val="1"/>
              <w:widowControl w:val="0"/>
              <w:spacing w:line="240" w:lineRule="auto"/>
              <w:jc w:val="center"/>
              <w:rPr>
                <w:color w:val="1e1a34"/>
                <w:sz w:val="21"/>
                <w:szCs w:val="21"/>
              </w:rPr>
            </w:pPr>
            <w:r w:rsidDel="00000000" w:rsidR="00000000" w:rsidRPr="00000000">
              <w:rPr>
                <w:color w:val="1e1a34"/>
                <w:sz w:val="21"/>
                <w:szCs w:val="21"/>
              </w:rPr>
              <w:drawing>
                <wp:inline distB="0" distT="0" distL="0" distR="0">
                  <wp:extent cx="2627983" cy="951801"/>
                  <wp:effectExtent b="0" l="0" r="0" t="0"/>
                  <wp:docPr descr="Logo&#10;&#10;Description automatically generated" id="3" name="image2.png"/>
                  <a:graphic>
                    <a:graphicData uri="http://schemas.openxmlformats.org/drawingml/2006/picture">
                      <pic:pic>
                        <pic:nvPicPr>
                          <pic:cNvPr descr="Logo&#10;&#10;Description automatically generated" id="0" name="image2.png"/>
                          <pic:cNvPicPr preferRelativeResize="0"/>
                        </pic:nvPicPr>
                        <pic:blipFill>
                          <a:blip r:embed="rId14"/>
                          <a:srcRect b="0" l="0" r="0" t="0"/>
                          <a:stretch>
                            <a:fillRect/>
                          </a:stretch>
                        </pic:blipFill>
                        <pic:spPr>
                          <a:xfrm>
                            <a:off x="0" y="0"/>
                            <a:ext cx="2627983" cy="951801"/>
                          </a:xfrm>
                          <a:prstGeom prst="rect"/>
                          <a:ln/>
                        </pic:spPr>
                      </pic:pic>
                    </a:graphicData>
                  </a:graphic>
                </wp:inline>
              </w:drawing>
            </w:r>
            <w:r w:rsidDel="00000000" w:rsidR="00000000" w:rsidRPr="00000000">
              <w:rPr>
                <w:rtl w:val="0"/>
              </w:rPr>
            </w:r>
          </w:p>
          <w:p w:rsidR="00000000" w:rsidDel="00000000" w:rsidP="00000000" w:rsidRDefault="00000000" w:rsidRPr="00000000" w14:paraId="000000F9">
            <w:pPr>
              <w:keepNext w:val="1"/>
              <w:keepLines w:val="1"/>
              <w:widowControl w:val="0"/>
              <w:spacing w:line="240" w:lineRule="auto"/>
              <w:jc w:val="center"/>
              <w:rPr>
                <w:color w:val="1e1a34"/>
                <w:sz w:val="21"/>
                <w:szCs w:val="21"/>
              </w:rPr>
            </w:pPr>
            <w:r w:rsidDel="00000000" w:rsidR="00000000" w:rsidRPr="00000000">
              <w:rPr>
                <w:rtl w:val="0"/>
              </w:rPr>
            </w:r>
          </w:p>
          <w:p w:rsidR="00000000" w:rsidDel="00000000" w:rsidP="00000000" w:rsidRDefault="00000000" w:rsidRPr="00000000" w14:paraId="000000FA">
            <w:pPr>
              <w:keepNext w:val="1"/>
              <w:keepLines w:val="1"/>
              <w:widowControl w:val="0"/>
              <w:spacing w:line="240" w:lineRule="auto"/>
              <w:jc w:val="center"/>
              <w:rPr>
                <w:color w:val="1e1a34"/>
                <w:sz w:val="21"/>
                <w:szCs w:val="21"/>
              </w:rPr>
            </w:pPr>
            <w:r w:rsidDel="00000000" w:rsidR="00000000" w:rsidRPr="00000000">
              <w:rPr>
                <w:rtl w:val="0"/>
              </w:rPr>
            </w:r>
          </w:p>
          <w:p w:rsidR="00000000" w:rsidDel="00000000" w:rsidP="00000000" w:rsidRDefault="00000000" w:rsidRPr="00000000" w14:paraId="000000FB">
            <w:pPr>
              <w:keepNext w:val="1"/>
              <w:keepLines w:val="1"/>
              <w:widowControl w:val="0"/>
              <w:spacing w:line="240" w:lineRule="auto"/>
              <w:jc w:val="center"/>
              <w:rPr>
                <w:color w:val="1e1a34"/>
                <w:sz w:val="21"/>
                <w:szCs w:val="21"/>
              </w:rPr>
            </w:pPr>
            <w:r w:rsidDel="00000000" w:rsidR="00000000" w:rsidRPr="00000000">
              <w:rPr>
                <w:rtl w:val="0"/>
              </w:rPr>
            </w:r>
          </w:p>
          <w:p w:rsidR="00000000" w:rsidDel="00000000" w:rsidP="00000000" w:rsidRDefault="00000000" w:rsidRPr="00000000" w14:paraId="000000FC">
            <w:pPr>
              <w:keepNext w:val="1"/>
              <w:keepLines w:val="1"/>
              <w:widowControl w:val="0"/>
              <w:spacing w:line="240" w:lineRule="auto"/>
              <w:jc w:val="center"/>
              <w:rPr>
                <w:b w:val="1"/>
                <w:color w:val="1badbb"/>
                <w:sz w:val="28"/>
                <w:szCs w:val="28"/>
                <w:u w:val="single"/>
              </w:rPr>
            </w:pPr>
            <w:hyperlink r:id="rId15">
              <w:r w:rsidDel="00000000" w:rsidR="00000000" w:rsidRPr="00000000">
                <w:rPr>
                  <w:b w:val="1"/>
                  <w:color w:val="1badbb"/>
                  <w:sz w:val="28"/>
                  <w:szCs w:val="28"/>
                  <w:u w:val="single"/>
                  <w:rtl w:val="0"/>
                </w:rPr>
                <w:t xml:space="preserve">www.edssi.eu</w:t>
              </w:r>
            </w:hyperlink>
            <w:r w:rsidDel="00000000" w:rsidR="00000000" w:rsidRPr="00000000">
              <w:rPr>
                <w:rtl w:val="0"/>
              </w:rPr>
            </w:r>
          </w:p>
          <w:p w:rsidR="00000000" w:rsidDel="00000000" w:rsidP="00000000" w:rsidRDefault="00000000" w:rsidRPr="00000000" w14:paraId="000000FD">
            <w:pPr>
              <w:keepNext w:val="1"/>
              <w:keepLines w:val="1"/>
              <w:widowControl w:val="0"/>
              <w:spacing w:line="240" w:lineRule="auto"/>
              <w:jc w:val="center"/>
              <w:rPr>
                <w:color w:val="1e1a34"/>
                <w:sz w:val="21"/>
                <w:szCs w:val="21"/>
              </w:rPr>
            </w:pPr>
            <w:r w:rsidDel="00000000" w:rsidR="00000000" w:rsidRPr="00000000">
              <w:rPr>
                <w:rtl w:val="0"/>
              </w:rPr>
            </w:r>
          </w:p>
        </w:tc>
      </w:tr>
    </w:tbl>
    <w:p w:rsidR="00000000" w:rsidDel="00000000" w:rsidP="00000000" w:rsidRDefault="00000000" w:rsidRPr="00000000" w14:paraId="000000FE">
      <w:pPr>
        <w:keepNext w:val="1"/>
        <w:keepLines w:val="1"/>
        <w:spacing w:line="240" w:lineRule="auto"/>
        <w:jc w:val="both"/>
        <w:rPr>
          <w:b w:val="1"/>
          <w:color w:val="1badbb"/>
          <w:sz w:val="28"/>
          <w:szCs w:val="28"/>
          <w:u w:val="single"/>
        </w:rPr>
      </w:pPr>
      <w:r w:rsidDel="00000000" w:rsidR="00000000" w:rsidRPr="00000000">
        <w:rPr>
          <w:rtl w:val="0"/>
        </w:rPr>
      </w:r>
    </w:p>
    <w:p w:rsidR="00000000" w:rsidDel="00000000" w:rsidP="00000000" w:rsidRDefault="00000000" w:rsidRPr="00000000" w14:paraId="000000FF">
      <w:pPr>
        <w:pStyle w:val="Title"/>
        <w:rPr/>
        <w:sectPr>
          <w:type w:val="nextPage"/>
          <w:pgSz w:h="15840" w:w="12240" w:orient="portrait"/>
          <w:pgMar w:bottom="1440" w:top="1440" w:left="1440" w:right="1440" w:header="708" w:footer="708"/>
          <w:pgNumType w:start="0"/>
          <w:titlePg w:val="1"/>
        </w:sectPr>
      </w:pPr>
      <w:bookmarkStart w:colFirst="0" w:colLast="0" w:name="_ebuao8jj2lvy" w:id="39"/>
      <w:bookmarkEnd w:id="39"/>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color w:val="1e1a34"/>
          <w:sz w:val="21"/>
          <w:szCs w:val="21"/>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lowerLetter"/>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pPr>
    <w:tblPr>
      <w:tblStyleRowBandSize w:val="1"/>
      <w:tblStyleColBandSize w:val="1"/>
      <w:tblCellMar>
        <w:top w:w="100.0" w:type="dxa"/>
        <w:left w:w="108.0" w:type="dxa"/>
        <w:bottom w:w="100.0" w:type="dxa"/>
        <w:right w:w="108.0" w:type="dxa"/>
      </w:tblCellMar>
    </w:tblPr>
  </w:style>
  <w:style w:type="table" w:styleId="Table2">
    <w:basedOn w:val="TableNormal"/>
    <w:pPr>
      <w:widowControl w:val="0"/>
    </w:p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1-9ihaLYDAAglclofc2V4R5zXcb6janP/edit?usp=sharing&amp;ouid=106005105817912639512&amp;rtpof=true&amp;sd=true" TargetMode="External"/><Relationship Id="rId10" Type="http://schemas.openxmlformats.org/officeDocument/2006/relationships/hyperlink" Target="https://docs.google.com/document/d/1KgJKCp2p7pmW3q9_hYzgNhW5bRppFeI4/edit?usp=sharing&amp;ouid=106005105817912639512&amp;rtpof=true&amp;sd=true" TargetMode="External"/><Relationship Id="rId13" Type="http://schemas.openxmlformats.org/officeDocument/2006/relationships/hyperlink" Target="https://webgate.ec.europa.eu/cas/login" TargetMode="External"/><Relationship Id="rId12" Type="http://schemas.openxmlformats.org/officeDocument/2006/relationships/hyperlink" Target="https://docs.google.com/document/d/11-9ihaLYDAAglclofc2V4R5zXcb6janP/edit?usp=sharing&amp;ouid=106005105817912639512&amp;rtpof=true&amp;sd=tr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KgJKCp2p7pmW3q9_hYzgNhW5bRppFeI4/edit?usp=sharing&amp;ouid=106005105817912639512&amp;rtpof=true&amp;sd=true" TargetMode="External"/><Relationship Id="rId15" Type="http://schemas.openxmlformats.org/officeDocument/2006/relationships/hyperlink" Target="https://edssi.eu/" TargetMode="Externa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hyperlink" Target="https://docs.google.com/document/d/1KgJKCp2p7pmW3q9_hYzgNhW5bRppFeI4/edit?usp=sharing&amp;ouid=106005105817912639512&amp;rtpof=true&amp;sd=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